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32CB1ED1" w:rsidR="00BB5B47" w:rsidRPr="005A5862" w:rsidRDefault="00BB5B47" w:rsidP="00BB5B47">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B859D3">
        <w:rPr>
          <w:bCs/>
          <w:noProof w:val="0"/>
          <w:sz w:val="24"/>
          <w:szCs w:val="24"/>
        </w:rPr>
        <w:t>1</w:t>
      </w:r>
      <w:r w:rsidRPr="005A5862">
        <w:rPr>
          <w:bCs/>
          <w:noProof w:val="0"/>
          <w:sz w:val="24"/>
          <w:szCs w:val="24"/>
        </w:rPr>
        <w:tab/>
        <w:t>R2-2</w:t>
      </w:r>
      <w:r>
        <w:rPr>
          <w:bCs/>
          <w:noProof w:val="0"/>
          <w:sz w:val="24"/>
          <w:szCs w:val="24"/>
        </w:rPr>
        <w:t>5</w:t>
      </w:r>
      <w:r w:rsidR="007F1D4D">
        <w:rPr>
          <w:bCs/>
          <w:noProof w:val="0"/>
          <w:sz w:val="24"/>
          <w:szCs w:val="24"/>
        </w:rPr>
        <w:t>0</w:t>
      </w:r>
      <w:r w:rsidR="00833DE4">
        <w:rPr>
          <w:bCs/>
          <w:noProof w:val="0"/>
          <w:sz w:val="24"/>
          <w:szCs w:val="24"/>
        </w:rPr>
        <w:t>6134</w:t>
      </w:r>
    </w:p>
    <w:p w14:paraId="3723E1D3" w14:textId="1B4899E0" w:rsidR="005432D9" w:rsidRPr="005A5862" w:rsidRDefault="00B859D3" w:rsidP="00541A65">
      <w:pPr>
        <w:pStyle w:val="Header"/>
        <w:tabs>
          <w:tab w:val="right" w:pos="9641"/>
        </w:tabs>
        <w:rPr>
          <w:rFonts w:eastAsia="SimSun"/>
          <w:bCs/>
          <w:sz w:val="24"/>
          <w:szCs w:val="24"/>
          <w:lang w:eastAsia="zh-CN"/>
        </w:rPr>
      </w:pPr>
      <w:r>
        <w:rPr>
          <w:sz w:val="24"/>
        </w:rPr>
        <w:t>Bengaluru, India</w:t>
      </w:r>
      <w:r w:rsidR="00BB5B47" w:rsidRPr="009C57AF">
        <w:rPr>
          <w:sz w:val="24"/>
        </w:rPr>
        <w:t xml:space="preserve">, </w:t>
      </w:r>
      <w:r>
        <w:rPr>
          <w:sz w:val="24"/>
        </w:rPr>
        <w:t>2</w:t>
      </w:r>
      <w:r w:rsidR="008473E8">
        <w:rPr>
          <w:sz w:val="24"/>
        </w:rPr>
        <w:t>5</w:t>
      </w:r>
      <w:r w:rsidR="00BB5B47" w:rsidRPr="009C57AF">
        <w:rPr>
          <w:sz w:val="24"/>
        </w:rPr>
        <w:t xml:space="preserve"> – </w:t>
      </w:r>
      <w:r w:rsidR="00BB5B47">
        <w:rPr>
          <w:sz w:val="24"/>
        </w:rPr>
        <w:t>2</w:t>
      </w:r>
      <w:r w:rsidR="008473E8">
        <w:rPr>
          <w:sz w:val="24"/>
        </w:rPr>
        <w:t>9</w:t>
      </w:r>
      <w:r w:rsidR="00BB5B47" w:rsidRPr="009C57AF">
        <w:rPr>
          <w:sz w:val="24"/>
        </w:rPr>
        <w:t xml:space="preserve"> </w:t>
      </w:r>
      <w:r w:rsidR="008473E8">
        <w:rPr>
          <w:sz w:val="24"/>
        </w:rPr>
        <w:t>August</w:t>
      </w:r>
      <w:r w:rsidR="00BB5B47" w:rsidRPr="009C57AF">
        <w:rPr>
          <w:sz w:val="24"/>
        </w:rPr>
        <w:t xml:space="preserve"> 2025</w:t>
      </w:r>
      <w:r w:rsidR="00BB5B47">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26A91ED6"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B54A5">
        <w:rPr>
          <w:rFonts w:cs="Arial"/>
          <w:b/>
          <w:bCs/>
          <w:sz w:val="24"/>
          <w:lang w:eastAsia="ja-JP"/>
        </w:rPr>
        <w:t>8</w:t>
      </w:r>
      <w:r>
        <w:rPr>
          <w:rFonts w:cs="Arial"/>
          <w:b/>
          <w:bCs/>
          <w:sz w:val="24"/>
          <w:lang w:eastAsia="ja-JP"/>
        </w:rPr>
        <w:t>.</w:t>
      </w:r>
      <w:r w:rsidR="006B54A5">
        <w:rPr>
          <w:rFonts w:cs="Arial"/>
          <w:b/>
          <w:bCs/>
          <w:sz w:val="24"/>
          <w:lang w:eastAsia="ja-JP"/>
        </w:rPr>
        <w:t>3</w:t>
      </w:r>
      <w:r>
        <w:rPr>
          <w:rFonts w:cs="Arial"/>
          <w:b/>
          <w:bCs/>
          <w:sz w:val="24"/>
          <w:lang w:eastAsia="ja-JP"/>
        </w:rPr>
        <w:t>.</w:t>
      </w:r>
      <w:r w:rsidR="006B54A5">
        <w:rPr>
          <w:rFonts w:cs="Arial"/>
          <w:b/>
          <w:bCs/>
          <w:sz w:val="24"/>
          <w:lang w:eastAsia="ja-JP"/>
        </w:rPr>
        <w:t>2.2</w:t>
      </w:r>
    </w:p>
    <w:p w14:paraId="0EC781B3" w14:textId="77777777"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1C128592"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B54A5" w:rsidRPr="006B54A5">
        <w:rPr>
          <w:rFonts w:ascii="Arial" w:hAnsi="Arial" w:cs="Arial"/>
          <w:b/>
          <w:bCs/>
          <w:sz w:val="24"/>
        </w:rPr>
        <w:t>Functionality management for measurement event prediction</w:t>
      </w:r>
    </w:p>
    <w:p w14:paraId="7D015DD9" w14:textId="37995DD2"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221FED">
        <w:rPr>
          <w:rFonts w:ascii="Arial" w:hAnsi="Arial" w:cs="Arial"/>
          <w:b/>
          <w:bCs/>
          <w:sz w:val="24"/>
        </w:rPr>
        <w:t>FS_NR_AIML_Mob</w:t>
      </w:r>
      <w:proofErr w:type="spellEnd"/>
      <w:r w:rsidR="00603451">
        <w:rPr>
          <w:rFonts w:ascii="Arial" w:hAnsi="Arial" w:cs="Arial"/>
          <w:b/>
          <w:bCs/>
          <w:sz w:val="24"/>
        </w:rPr>
        <w:t xml:space="preserve"> – Release 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500082B8" w:rsidR="008B549E" w:rsidRPr="006E13D1" w:rsidRDefault="008B549E" w:rsidP="008B549E">
      <w:pPr>
        <w:pStyle w:val="Heading1"/>
      </w:pPr>
      <w:r w:rsidRPr="006E13D1">
        <w:t>1</w:t>
      </w:r>
      <w:r w:rsidRPr="006E13D1">
        <w:tab/>
      </w:r>
      <w:r>
        <w:t>Introduction</w:t>
      </w:r>
    </w:p>
    <w:p w14:paraId="35CEC093" w14:textId="77777777" w:rsidR="006B54A5" w:rsidRPr="00DE190B" w:rsidRDefault="006B54A5" w:rsidP="006B54A5">
      <w:pPr>
        <w:rPr>
          <w:rFonts w:eastAsia="Arial"/>
          <w:bCs/>
          <w:lang w:eastAsia="zh-CN"/>
        </w:rPr>
      </w:pPr>
      <w:r w:rsidRPr="00DE190B">
        <w:rPr>
          <w:rFonts w:eastAsia="Arial"/>
          <w:bCs/>
          <w:lang w:eastAsia="zh-CN"/>
        </w:rPr>
        <w:t xml:space="preserve">It was agreed in RAN2#129bis that: </w:t>
      </w:r>
    </w:p>
    <w:tbl>
      <w:tblPr>
        <w:tblStyle w:val="TableGrid"/>
        <w:tblW w:w="9214" w:type="dxa"/>
        <w:tblInd w:w="562" w:type="dxa"/>
        <w:tblLook w:val="04A0" w:firstRow="1" w:lastRow="0" w:firstColumn="1" w:lastColumn="0" w:noHBand="0" w:noVBand="1"/>
      </w:tblPr>
      <w:tblGrid>
        <w:gridCol w:w="9214"/>
      </w:tblGrid>
      <w:tr w:rsidR="00510EB5" w14:paraId="32382664" w14:textId="77777777" w:rsidTr="00510EB5">
        <w:tc>
          <w:tcPr>
            <w:tcW w:w="9214" w:type="dxa"/>
          </w:tcPr>
          <w:p w14:paraId="3EBF04C7" w14:textId="05AAD1D5" w:rsidR="00051534" w:rsidRPr="00051534" w:rsidRDefault="00051534" w:rsidP="00051534">
            <w:pPr>
              <w:spacing w:before="60" w:after="0"/>
              <w:rPr>
                <w:rFonts w:ascii="Arial" w:eastAsia="MS Mincho" w:hAnsi="Arial"/>
                <w:b/>
                <w:szCs w:val="24"/>
                <w:lang w:eastAsia="en-GB"/>
              </w:rPr>
            </w:pPr>
            <w:r>
              <w:rPr>
                <w:rFonts w:ascii="Arial" w:eastAsia="MS Mincho" w:hAnsi="Arial"/>
                <w:b/>
                <w:szCs w:val="24"/>
                <w:lang w:eastAsia="en-GB"/>
              </w:rPr>
              <w:t xml:space="preserve">          </w:t>
            </w:r>
            <w:r w:rsidRPr="00051534">
              <w:rPr>
                <w:rFonts w:ascii="Arial" w:eastAsia="MS Mincho" w:hAnsi="Arial"/>
                <w:b/>
                <w:szCs w:val="24"/>
                <w:lang w:eastAsia="en-GB"/>
              </w:rPr>
              <w:t>Agreements</w:t>
            </w:r>
          </w:p>
          <w:p w14:paraId="002322D7" w14:textId="5EFC4D86" w:rsidR="00F830B0" w:rsidRPr="001F034E" w:rsidRDefault="00510EB5" w:rsidP="001F034E">
            <w:pPr>
              <w:pStyle w:val="ListParagraph"/>
              <w:numPr>
                <w:ilvl w:val="0"/>
                <w:numId w:val="29"/>
              </w:numPr>
              <w:spacing w:before="60" w:after="0"/>
              <w:rPr>
                <w:rFonts w:ascii="Arial" w:eastAsia="MS Mincho" w:hAnsi="Arial"/>
                <w:bCs/>
                <w:szCs w:val="24"/>
                <w:lang w:eastAsia="en-GB"/>
              </w:rPr>
            </w:pPr>
            <w:r w:rsidRPr="001F034E">
              <w:rPr>
                <w:rFonts w:ascii="Arial" w:eastAsia="MS Mincho" w:hAnsi="Arial"/>
                <w:bCs/>
                <w:szCs w:val="24"/>
                <w:lang w:eastAsia="en-GB"/>
              </w:rPr>
              <w:t xml:space="preserve">The inference configuration and reporting for AI/ML mobility can be based on RRM </w:t>
            </w:r>
            <w:r w:rsidR="00F830B0" w:rsidRPr="001F034E">
              <w:rPr>
                <w:rFonts w:ascii="Arial" w:eastAsia="MS Mincho" w:hAnsi="Arial"/>
                <w:bCs/>
                <w:szCs w:val="24"/>
                <w:lang w:eastAsia="en-GB"/>
              </w:rPr>
              <w:t xml:space="preserve">    </w:t>
            </w:r>
          </w:p>
          <w:p w14:paraId="3DB70B45" w14:textId="58B057BF" w:rsidR="00510EB5" w:rsidRPr="00F830B0" w:rsidRDefault="00510EB5" w:rsidP="00F830B0">
            <w:pPr>
              <w:pStyle w:val="ListParagraph"/>
              <w:spacing w:before="60" w:after="0"/>
              <w:ind w:left="970"/>
              <w:rPr>
                <w:bCs/>
              </w:rPr>
            </w:pPr>
            <w:r w:rsidRPr="00F830B0">
              <w:rPr>
                <w:rFonts w:ascii="Arial" w:eastAsia="MS Mincho" w:hAnsi="Arial"/>
                <w:bCs/>
                <w:szCs w:val="24"/>
                <w:lang w:eastAsia="en-GB"/>
              </w:rPr>
              <w:t>measurement framework</w:t>
            </w:r>
          </w:p>
        </w:tc>
      </w:tr>
    </w:tbl>
    <w:p w14:paraId="3BE07BB1" w14:textId="77777777" w:rsidR="006B54A5" w:rsidRDefault="006B54A5" w:rsidP="004E4299">
      <w:pPr>
        <w:spacing w:before="120"/>
        <w:rPr>
          <w:lang w:val="da-DK"/>
        </w:rPr>
      </w:pPr>
      <w:r>
        <w:rPr>
          <w:lang w:val="da-DK"/>
        </w:rPr>
        <w:t xml:space="preserve">The </w:t>
      </w:r>
      <w:proofErr w:type="spellStart"/>
      <w:r>
        <w:rPr>
          <w:lang w:val="da-DK"/>
        </w:rPr>
        <w:t>following</w:t>
      </w:r>
      <w:proofErr w:type="spellEnd"/>
      <w:r>
        <w:rPr>
          <w:lang w:val="da-DK"/>
        </w:rPr>
        <w:t xml:space="preserve"> agreements </w:t>
      </w:r>
      <w:proofErr w:type="spellStart"/>
      <w:r>
        <w:rPr>
          <w:lang w:val="da-DK"/>
        </w:rPr>
        <w:t>were</w:t>
      </w:r>
      <w:proofErr w:type="spellEnd"/>
      <w:r>
        <w:rPr>
          <w:lang w:val="da-DK"/>
        </w:rPr>
        <w:t xml:space="preserve"> made in RAN2#129bis:</w:t>
      </w:r>
    </w:p>
    <w:p w14:paraId="2DF61848" w14:textId="77777777" w:rsidR="006B54A5" w:rsidRPr="00DA0025" w:rsidRDefault="006B54A5" w:rsidP="00C25571">
      <w:pPr>
        <w:pBdr>
          <w:top w:val="single" w:sz="4" w:space="1" w:color="auto"/>
          <w:left w:val="single" w:sz="4" w:space="31" w:color="auto"/>
          <w:bottom w:val="single" w:sz="4" w:space="1" w:color="auto"/>
          <w:right w:val="single" w:sz="4" w:space="4" w:color="auto"/>
        </w:pBdr>
        <w:spacing w:before="60" w:after="0"/>
        <w:ind w:left="1619" w:hanging="360"/>
        <w:rPr>
          <w:rFonts w:ascii="Arial" w:eastAsia="MS Mincho" w:hAnsi="Arial"/>
          <w:b/>
          <w:szCs w:val="24"/>
          <w:lang w:eastAsia="en-GB"/>
        </w:rPr>
      </w:pPr>
      <w:r w:rsidRPr="00DA0025">
        <w:rPr>
          <w:rFonts w:ascii="Arial" w:eastAsia="MS Mincho" w:hAnsi="Arial"/>
          <w:b/>
          <w:szCs w:val="24"/>
          <w:lang w:eastAsia="en-GB"/>
        </w:rPr>
        <w:t xml:space="preserve">Agreements </w:t>
      </w:r>
    </w:p>
    <w:p w14:paraId="550E59F9" w14:textId="77777777" w:rsidR="006B54A5" w:rsidRPr="00DA0025" w:rsidRDefault="006B54A5" w:rsidP="00C25571">
      <w:pPr>
        <w:numPr>
          <w:ilvl w:val="0"/>
          <w:numId w:val="21"/>
        </w:numPr>
        <w:pBdr>
          <w:top w:val="single" w:sz="4" w:space="1" w:color="auto"/>
          <w:left w:val="single" w:sz="4" w:space="31" w:color="auto"/>
          <w:bottom w:val="single" w:sz="4" w:space="1" w:color="auto"/>
          <w:right w:val="single" w:sz="4" w:space="4" w:color="auto"/>
        </w:pBdr>
        <w:spacing w:before="60" w:after="0"/>
        <w:rPr>
          <w:rFonts w:ascii="Arial" w:eastAsia="MS Mincho" w:hAnsi="Arial"/>
          <w:bCs/>
          <w:szCs w:val="24"/>
          <w:lang w:eastAsia="en-GB"/>
        </w:rPr>
      </w:pPr>
      <w:r w:rsidRPr="00DA0025">
        <w:rPr>
          <w:rFonts w:ascii="Arial" w:eastAsia="MS Mincho" w:hAnsi="Arial"/>
          <w:bCs/>
          <w:szCs w:val="24"/>
          <w:lang w:eastAsia="en-GB"/>
        </w:rPr>
        <w:t>For RRM prediction, UE sided model, the UE can be configured with periodic or event triggered reporting of predicted and/or actual RRM measurements.   FFS details</w:t>
      </w:r>
    </w:p>
    <w:p w14:paraId="229E7ACD" w14:textId="08BE4850" w:rsidR="006B54A5" w:rsidRPr="00DA0025" w:rsidRDefault="006B54A5" w:rsidP="00C25571">
      <w:pPr>
        <w:numPr>
          <w:ilvl w:val="0"/>
          <w:numId w:val="21"/>
        </w:numPr>
        <w:pBdr>
          <w:top w:val="single" w:sz="4" w:space="1" w:color="auto"/>
          <w:left w:val="single" w:sz="4" w:space="31" w:color="auto"/>
          <w:bottom w:val="single" w:sz="4" w:space="1" w:color="auto"/>
          <w:right w:val="single" w:sz="4" w:space="4" w:color="auto"/>
        </w:pBdr>
        <w:spacing w:before="60" w:after="0"/>
        <w:rPr>
          <w:rFonts w:ascii="Arial" w:eastAsia="MS Mincho" w:hAnsi="Arial"/>
          <w:bCs/>
          <w:szCs w:val="24"/>
          <w:lang w:eastAsia="en-GB"/>
        </w:rPr>
      </w:pPr>
      <w:r w:rsidRPr="00DA0025">
        <w:rPr>
          <w:rFonts w:ascii="Arial" w:eastAsia="MS Mincho" w:hAnsi="Arial"/>
          <w:bCs/>
          <w:szCs w:val="24"/>
          <w:lang w:eastAsia="en-GB"/>
        </w:rPr>
        <w:t>For event prediction, UE-sided model, the UE can be configured with event-triggered reporting based on prediction and/or actual measurements.  FFS details</w:t>
      </w:r>
    </w:p>
    <w:p w14:paraId="34D9E00B" w14:textId="77777777" w:rsidR="006B54A5" w:rsidRPr="00DA0025" w:rsidRDefault="006B54A5" w:rsidP="00C25571">
      <w:pPr>
        <w:numPr>
          <w:ilvl w:val="0"/>
          <w:numId w:val="21"/>
        </w:numPr>
        <w:pBdr>
          <w:top w:val="single" w:sz="4" w:space="1" w:color="auto"/>
          <w:left w:val="single" w:sz="4" w:space="31" w:color="auto"/>
          <w:bottom w:val="single" w:sz="4" w:space="1" w:color="auto"/>
          <w:right w:val="single" w:sz="4" w:space="4" w:color="auto"/>
        </w:pBdr>
        <w:spacing w:before="60" w:after="0"/>
        <w:rPr>
          <w:rFonts w:ascii="Arial" w:eastAsia="MS Mincho" w:hAnsi="Arial"/>
          <w:bCs/>
          <w:szCs w:val="24"/>
          <w:lang w:eastAsia="en-GB"/>
        </w:rPr>
      </w:pPr>
      <w:r w:rsidRPr="00DA0025">
        <w:rPr>
          <w:rFonts w:ascii="Arial" w:eastAsia="MS Mincho" w:hAnsi="Arial"/>
          <w:bCs/>
          <w:szCs w:val="24"/>
          <w:lang w:eastAsia="en-GB"/>
        </w:rPr>
        <w:t>Baseline is that this applies to all A1-6 events, unless technical problems are identified.  Baseline quantity is RSRP.</w:t>
      </w:r>
    </w:p>
    <w:p w14:paraId="0C7A4BEC" w14:textId="77777777" w:rsidR="006B54A5" w:rsidRDefault="006B54A5" w:rsidP="004E4299">
      <w:pPr>
        <w:spacing w:before="120"/>
        <w:rPr>
          <w:lang w:val="da-DK"/>
        </w:rPr>
      </w:pPr>
      <w:r>
        <w:rPr>
          <w:lang w:val="da-DK"/>
        </w:rPr>
        <w:t xml:space="preserve">The </w:t>
      </w:r>
      <w:proofErr w:type="spellStart"/>
      <w:r>
        <w:rPr>
          <w:lang w:val="da-DK"/>
        </w:rPr>
        <w:t>following</w:t>
      </w:r>
      <w:proofErr w:type="spellEnd"/>
      <w:r>
        <w:rPr>
          <w:lang w:val="da-DK"/>
        </w:rPr>
        <w:t xml:space="preserve"> agreements </w:t>
      </w:r>
      <w:proofErr w:type="spellStart"/>
      <w:r>
        <w:rPr>
          <w:lang w:val="da-DK"/>
        </w:rPr>
        <w:t>were</w:t>
      </w:r>
      <w:proofErr w:type="spellEnd"/>
      <w:r>
        <w:rPr>
          <w:lang w:val="da-DK"/>
        </w:rPr>
        <w:t xml:space="preserve"> made in RAN2#130:</w:t>
      </w:r>
    </w:p>
    <w:tbl>
      <w:tblPr>
        <w:tblStyle w:val="TableGrid"/>
        <w:tblW w:w="9214" w:type="dxa"/>
        <w:tblInd w:w="562" w:type="dxa"/>
        <w:tblLook w:val="04A0" w:firstRow="1" w:lastRow="0" w:firstColumn="1" w:lastColumn="0" w:noHBand="0" w:noVBand="1"/>
      </w:tblPr>
      <w:tblGrid>
        <w:gridCol w:w="9214"/>
      </w:tblGrid>
      <w:tr w:rsidR="006B54A5" w14:paraId="063036CF" w14:textId="77777777" w:rsidTr="00510EB5">
        <w:tc>
          <w:tcPr>
            <w:tcW w:w="9214" w:type="dxa"/>
          </w:tcPr>
          <w:p w14:paraId="52E368D2" w14:textId="77777777" w:rsidR="006B54A5" w:rsidRPr="004D1AAA" w:rsidRDefault="006B54A5" w:rsidP="00702EFC">
            <w:pPr>
              <w:pStyle w:val="Doc-text2"/>
              <w:ind w:left="363"/>
              <w:rPr>
                <w:b/>
                <w:bCs/>
              </w:rPr>
            </w:pPr>
            <w:r w:rsidRPr="004D1AAA">
              <w:rPr>
                <w:b/>
                <w:bCs/>
              </w:rPr>
              <w:t>Agreements</w:t>
            </w:r>
          </w:p>
          <w:p w14:paraId="79392AE9" w14:textId="77777777" w:rsidR="006B54A5" w:rsidRDefault="006B54A5" w:rsidP="006B54A5">
            <w:pPr>
              <w:pStyle w:val="Doc-text2"/>
              <w:numPr>
                <w:ilvl w:val="0"/>
                <w:numId w:val="25"/>
              </w:numPr>
            </w:pPr>
            <w:r>
              <w:t>The following potential “inference parameters” can be considered for inference/measurement configuration, which provides the necessary information for UE to examine the applicability, it may contain</w:t>
            </w:r>
          </w:p>
          <w:p w14:paraId="213018B1" w14:textId="77777777" w:rsidR="006B54A5" w:rsidRDefault="006B54A5" w:rsidP="00702EFC">
            <w:pPr>
              <w:pStyle w:val="Doc-text2"/>
              <w:ind w:left="723"/>
            </w:pPr>
            <w:r>
              <w:t>• PW length (for temporal case A)</w:t>
            </w:r>
          </w:p>
          <w:p w14:paraId="4D301571" w14:textId="77777777" w:rsidR="006B54A5" w:rsidRDefault="006B54A5" w:rsidP="00702EFC">
            <w:pPr>
              <w:pStyle w:val="Doc-text2"/>
              <w:ind w:left="723"/>
            </w:pPr>
            <w:r>
              <w:t xml:space="preserve">• Skipping pattern (e.g. SSB config that indicates SSBs transmitted) (optional).  MRRT (for temporal case </w:t>
            </w:r>
            <w:proofErr w:type="gramStart"/>
            <w:r>
              <w:t>B )</w:t>
            </w:r>
            <w:proofErr w:type="gramEnd"/>
            <w:r>
              <w:t xml:space="preserve"> not discussed in study item, but if RAN4 says otherwise can be considered in WI</w:t>
            </w:r>
          </w:p>
          <w:p w14:paraId="48B37368" w14:textId="77777777" w:rsidR="006B54A5" w:rsidRDefault="006B54A5" w:rsidP="00702EFC">
            <w:pPr>
              <w:pStyle w:val="Doc-text2"/>
              <w:ind w:left="723"/>
            </w:pPr>
            <w:r>
              <w:t>• Measured and predicted beam pattern (optional).   MRRS (for spatial domain prediction) not discussed in study item, but if RAN4 says otherwise can be considered in WI</w:t>
            </w:r>
          </w:p>
          <w:p w14:paraId="275F3114" w14:textId="77777777" w:rsidR="006B54A5" w:rsidRDefault="006B54A5" w:rsidP="00702EFC">
            <w:pPr>
              <w:pStyle w:val="Doc-text2"/>
              <w:ind w:left="723"/>
            </w:pPr>
            <w:r>
              <w:t>• Measured and predicted frequency (For inter-</w:t>
            </w:r>
            <w:proofErr w:type="spellStart"/>
            <w:r>
              <w:t>freq</w:t>
            </w:r>
            <w:proofErr w:type="spellEnd"/>
            <w:r>
              <w:t xml:space="preserve"> domain prediction)</w:t>
            </w:r>
          </w:p>
          <w:p w14:paraId="09EA8D02" w14:textId="77777777" w:rsidR="006B54A5" w:rsidRDefault="006B54A5" w:rsidP="006B54A5">
            <w:pPr>
              <w:pStyle w:val="Doc-text2"/>
              <w:numPr>
                <w:ilvl w:val="0"/>
                <w:numId w:val="25"/>
              </w:numPr>
            </w:pPr>
            <w:r w:rsidRPr="004D1AAA">
              <w:t>Model related choices (i.e., cluster-based vs. cell-based, L1 filtering, RRM sub-use cases, OW length, direct vs. indirect) can be up to UE implementation unless a requirement is identified to specify them.</w:t>
            </w:r>
          </w:p>
        </w:tc>
      </w:tr>
    </w:tbl>
    <w:p w14:paraId="22AC2982" w14:textId="54AD6824" w:rsidR="006E6CD8" w:rsidRDefault="004E4299" w:rsidP="006E6CD8">
      <w:pPr>
        <w:spacing w:before="120"/>
      </w:pPr>
      <w:r>
        <w:t>In the</w:t>
      </w:r>
      <w:r w:rsidR="00D95760">
        <w:t xml:space="preserve"> contribution, we </w:t>
      </w:r>
      <w:r w:rsidR="00080E26">
        <w:t xml:space="preserve">present our final remarks related to indirect event prediction and </w:t>
      </w:r>
      <w:r w:rsidR="006E6CD8">
        <w:t xml:space="preserve">highlight the need for specifying the prediction reporting criteria configuration in the WI phase. </w:t>
      </w:r>
      <w:r w:rsidR="009269AE">
        <w:t xml:space="preserve">For direct prediction, </w:t>
      </w:r>
      <w:r w:rsidR="00F123F9">
        <w:t xml:space="preserve">we </w:t>
      </w:r>
      <w:r w:rsidR="00010F35">
        <w:t xml:space="preserve">discuss the need </w:t>
      </w:r>
      <w:r w:rsidR="008C4BB9">
        <w:t xml:space="preserve">for providing further metadata </w:t>
      </w:r>
      <w:r w:rsidR="00FE3CC7">
        <w:t xml:space="preserve">associated with the models that produced the predictions. Last, we present our views on monitoring for the </w:t>
      </w:r>
      <w:r w:rsidR="0046181D">
        <w:t xml:space="preserve">measurement event prediction use-case and </w:t>
      </w:r>
      <w:r w:rsidR="007A40A7">
        <w:t xml:space="preserve">the associated KPIs that can be considered. </w:t>
      </w:r>
    </w:p>
    <w:p w14:paraId="2F0575B0" w14:textId="75775059" w:rsidR="008B549E" w:rsidRPr="006E13D1" w:rsidRDefault="008B549E" w:rsidP="008B549E">
      <w:pPr>
        <w:pStyle w:val="Heading1"/>
      </w:pPr>
      <w:r w:rsidRPr="006E13D1">
        <w:t>2</w:t>
      </w:r>
      <w:r w:rsidRPr="006E13D1">
        <w:tab/>
      </w:r>
      <w:r w:rsidR="00902E5B" w:rsidRPr="00902E5B">
        <w:t>Discussion</w:t>
      </w:r>
    </w:p>
    <w:p w14:paraId="763E17BF" w14:textId="78EC7E38" w:rsidR="008B76E7" w:rsidRDefault="008B76E7" w:rsidP="008B76E7">
      <w:pPr>
        <w:pStyle w:val="Heading2"/>
      </w:pPr>
      <w:r>
        <w:t xml:space="preserve">2.1 </w:t>
      </w:r>
      <w:r>
        <w:tab/>
        <w:t xml:space="preserve">Indirect </w:t>
      </w:r>
      <w:r w:rsidRPr="008B76E7">
        <w:t>Measurement</w:t>
      </w:r>
      <w:r>
        <w:t xml:space="preserve"> Event Prediction</w:t>
      </w:r>
    </w:p>
    <w:p w14:paraId="6F15DEE9" w14:textId="77777777" w:rsidR="00DB774D" w:rsidRPr="00DB774D" w:rsidRDefault="00DB774D" w:rsidP="00DB774D"/>
    <w:p w14:paraId="1C696F22" w14:textId="77777777" w:rsidR="00066FE6" w:rsidRPr="0059478A" w:rsidRDefault="00066FE6" w:rsidP="00066FE6">
      <w:pPr>
        <w:pStyle w:val="3GPPNormalText"/>
        <w:keepNext/>
        <w:jc w:val="left"/>
        <w:rPr>
          <w:lang w:val="en-US"/>
        </w:rPr>
      </w:pPr>
      <w:r>
        <w:rPr>
          <w:noProof/>
          <w:lang w:val="en-US"/>
        </w:rPr>
        <w:lastRenderedPageBreak/>
        <w:drawing>
          <wp:inline distT="0" distB="0" distL="0" distR="0" wp14:anchorId="0B949BC9" wp14:editId="2EDAAA17">
            <wp:extent cx="6227105" cy="1733661"/>
            <wp:effectExtent l="0" t="0" r="0" b="0"/>
            <wp:docPr id="1381870885" name="Picture 1" descr="A diagram of a proc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870885" name="Picture 1" descr="A diagram of a process&#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76859" cy="1747513"/>
                    </a:xfrm>
                    <a:prstGeom prst="rect">
                      <a:avLst/>
                    </a:prstGeom>
                    <a:noFill/>
                  </pic:spPr>
                </pic:pic>
              </a:graphicData>
            </a:graphic>
          </wp:inline>
        </w:drawing>
      </w:r>
    </w:p>
    <w:p w14:paraId="13D91F5B" w14:textId="7ED67CC8" w:rsidR="00066FE6" w:rsidRPr="00F57A51" w:rsidRDefault="00066FE6" w:rsidP="00066FE6">
      <w:pPr>
        <w:pStyle w:val="ListParagraph"/>
        <w:spacing w:line="259" w:lineRule="auto"/>
        <w:jc w:val="center"/>
        <w:rPr>
          <w:rFonts w:ascii="Arial" w:eastAsia="Arial" w:hAnsi="Arial" w:cs="Arial"/>
          <w:b/>
          <w:bCs/>
          <w:lang w:val="en-US" w:eastAsia="zh-CN"/>
        </w:rPr>
      </w:pPr>
      <w:bookmarkStart w:id="0" w:name="_Hlk200011675"/>
      <w:r w:rsidRPr="00875A44">
        <w:rPr>
          <w:rFonts w:ascii="Arial" w:eastAsia="Arial" w:hAnsi="Arial" w:cs="Arial"/>
          <w:b/>
          <w:lang w:val="en-US" w:eastAsia="zh-CN"/>
        </w:rPr>
        <w:t xml:space="preserve">Figure </w:t>
      </w:r>
      <w:r>
        <w:rPr>
          <w:rFonts w:ascii="Arial" w:eastAsia="Arial" w:hAnsi="Arial" w:cs="Arial"/>
          <w:b/>
          <w:lang w:val="en-US" w:eastAsia="zh-CN"/>
        </w:rPr>
        <w:t>2.1</w:t>
      </w:r>
      <w:r w:rsidRPr="00875A44">
        <w:rPr>
          <w:rFonts w:ascii="Arial" w:eastAsia="Arial" w:hAnsi="Arial" w:cs="Arial"/>
          <w:b/>
          <w:lang w:val="en-US" w:eastAsia="zh-CN"/>
        </w:rPr>
        <w:t xml:space="preserve">-1 </w:t>
      </w:r>
      <w:r>
        <w:rPr>
          <w:rFonts w:ascii="Arial" w:eastAsia="Arial" w:hAnsi="Arial" w:cs="Arial"/>
          <w:b/>
          <w:lang w:val="en-US" w:eastAsia="zh-CN"/>
        </w:rPr>
        <w:t>Indirect measurement event prediction, s</w:t>
      </w:r>
      <w:r w:rsidRPr="006D1379">
        <w:rPr>
          <w:rFonts w:ascii="Arial" w:eastAsia="Arial" w:hAnsi="Arial" w:cs="Arial"/>
          <w:b/>
          <w:lang w:val="en-US" w:eastAsia="zh-CN"/>
        </w:rPr>
        <w:t>ub-</w:t>
      </w:r>
      <w:r>
        <w:rPr>
          <w:rFonts w:ascii="Arial" w:eastAsia="Arial" w:hAnsi="Arial" w:cs="Arial"/>
          <w:b/>
          <w:lang w:val="en-US" w:eastAsia="zh-CN"/>
        </w:rPr>
        <w:t>c</w:t>
      </w:r>
      <w:r w:rsidRPr="006D1379">
        <w:rPr>
          <w:rFonts w:ascii="Arial" w:eastAsia="Arial" w:hAnsi="Arial" w:cs="Arial"/>
          <w:b/>
          <w:lang w:val="en-US" w:eastAsia="zh-CN"/>
        </w:rPr>
        <w:t>ase 2</w:t>
      </w:r>
    </w:p>
    <w:bookmarkEnd w:id="0"/>
    <w:p w14:paraId="79E2AF47" w14:textId="77260AD2" w:rsidR="008B76E7" w:rsidRDefault="008B76E7" w:rsidP="008B76E7">
      <w:pPr>
        <w:jc w:val="both"/>
      </w:pPr>
      <w:r>
        <w:t>The required accuracy</w:t>
      </w:r>
      <w:r w:rsidR="00DC2DE7">
        <w:t xml:space="preserve"> of </w:t>
      </w:r>
      <w:r w:rsidRPr="00132E9B">
        <w:rPr>
          <w:rFonts w:eastAsia="MS Mincho" w:cstheme="minorHAnsi"/>
          <w:lang w:eastAsia="zh-CN"/>
        </w:rPr>
        <w:t>measurement predictions</w:t>
      </w:r>
      <w:r>
        <w:t xml:space="preserve"> depend</w:t>
      </w:r>
      <w:r w:rsidR="00DC2DE7">
        <w:t>s</w:t>
      </w:r>
      <w:r>
        <w:t xml:space="preserve"> on </w:t>
      </w:r>
      <w:r w:rsidR="00DC2DE7">
        <w:t>how</w:t>
      </w:r>
      <w:r>
        <w:t xml:space="preserve"> the measurements and/or predictions are used. In temporal domain case B, the assumption </w:t>
      </w:r>
      <w:r w:rsidR="00C929C6">
        <w:t>may be</w:t>
      </w:r>
      <w:r>
        <w:t xml:space="preserve"> that the predicted measurements can replace actual measurements, e.g., that they may be used to evaluate measurement event conditions and that the network </w:t>
      </w:r>
      <w:r w:rsidR="00FB7AA6">
        <w:t>may</w:t>
      </w:r>
      <w:r>
        <w:t xml:space="preserve"> even decide on handover execution based on them. This requires high accuracy, comparable to the accuracy of the actual measurements.</w:t>
      </w:r>
    </w:p>
    <w:p w14:paraId="086B2863" w14:textId="0361B3AD" w:rsidR="008B76E7" w:rsidRDefault="008B76E7" w:rsidP="008B76E7">
      <w:pPr>
        <w:jc w:val="both"/>
      </w:pPr>
      <w:r>
        <w:t>On the other hand, if the predicted measurements are used, for example, to optimize early handover preparation decisions (to reduce the handover execution duration)</w:t>
      </w:r>
      <w:r w:rsidR="002A13B6">
        <w:t xml:space="preserve"> or </w:t>
      </w:r>
      <w:r w:rsidR="00D050AC">
        <w:t>measurement configuration</w:t>
      </w:r>
      <w:r>
        <w:t>, required accuracy may be lower. This is one possible use case utilizing temporal domain case A predictions.</w:t>
      </w:r>
    </w:p>
    <w:p w14:paraId="11F91F88" w14:textId="4C7C13E2" w:rsidR="008B76E7" w:rsidRDefault="008B76E7" w:rsidP="008B76E7">
      <w:pPr>
        <w:jc w:val="both"/>
      </w:pPr>
      <w:r w:rsidRPr="00487835">
        <w:rPr>
          <w:b/>
          <w:bCs/>
        </w:rPr>
        <w:t xml:space="preserve">Observation </w:t>
      </w:r>
      <w:r w:rsidR="009E764D">
        <w:rPr>
          <w:b/>
          <w:bCs/>
        </w:rPr>
        <w:t>1</w:t>
      </w:r>
      <w:r w:rsidRPr="00487835">
        <w:rPr>
          <w:b/>
          <w:bCs/>
        </w:rPr>
        <w:t>:</w:t>
      </w:r>
      <w:r>
        <w:t xml:space="preserve"> The required accuracy </w:t>
      </w:r>
      <w:r w:rsidR="00D050AC">
        <w:t xml:space="preserve">of </w:t>
      </w:r>
      <w:r w:rsidR="00D050AC" w:rsidRPr="00132E9B">
        <w:rPr>
          <w:rFonts w:eastAsia="MS Mincho" w:cstheme="minorHAnsi"/>
          <w:lang w:eastAsia="zh-CN"/>
        </w:rPr>
        <w:t>measurement predictions</w:t>
      </w:r>
      <w:r w:rsidR="00D050AC">
        <w:t xml:space="preserve"> depends</w:t>
      </w:r>
      <w:r>
        <w:t xml:space="preserve"> on </w:t>
      </w:r>
      <w:r w:rsidR="00D050AC">
        <w:t>how</w:t>
      </w:r>
      <w:r>
        <w:t xml:space="preserve"> the measurements and/or predictions are used.</w:t>
      </w:r>
    </w:p>
    <w:p w14:paraId="1D3B5569" w14:textId="3EF35327" w:rsidR="008B76E7" w:rsidRDefault="008B76E7" w:rsidP="008B76E7">
      <w:pPr>
        <w:jc w:val="both"/>
      </w:pPr>
      <w:r w:rsidRPr="00487835">
        <w:rPr>
          <w:b/>
          <w:bCs/>
        </w:rPr>
        <w:t xml:space="preserve">Observation </w:t>
      </w:r>
      <w:r w:rsidR="009E764D">
        <w:rPr>
          <w:b/>
          <w:bCs/>
        </w:rPr>
        <w:t>2</w:t>
      </w:r>
      <w:r w:rsidRPr="00487835">
        <w:rPr>
          <w:b/>
          <w:bCs/>
        </w:rPr>
        <w:t>:</w:t>
      </w:r>
      <w:r>
        <w:t xml:space="preserve"> Temporal domain case B measurement prediction may require high accuracy, comparable to the accuracy of the actual measurements.</w:t>
      </w:r>
    </w:p>
    <w:p w14:paraId="08486F0B" w14:textId="26626067" w:rsidR="008B76E7" w:rsidRDefault="008B76E7" w:rsidP="008B76E7">
      <w:pPr>
        <w:jc w:val="both"/>
      </w:pPr>
      <w:r w:rsidRPr="00487835">
        <w:rPr>
          <w:b/>
          <w:bCs/>
        </w:rPr>
        <w:t xml:space="preserve">Observation </w:t>
      </w:r>
      <w:r w:rsidR="009E764D">
        <w:rPr>
          <w:b/>
          <w:bCs/>
        </w:rPr>
        <w:t>3</w:t>
      </w:r>
      <w:r w:rsidRPr="00487835">
        <w:rPr>
          <w:b/>
          <w:bCs/>
        </w:rPr>
        <w:t>:</w:t>
      </w:r>
      <w:r>
        <w:t xml:space="preserve"> In temporal domain case A measurement prediction</w:t>
      </w:r>
      <w:r w:rsidRPr="00487835">
        <w:t xml:space="preserve"> optimiz</w:t>
      </w:r>
      <w:r>
        <w:t xml:space="preserve">ing, </w:t>
      </w:r>
      <w:r w:rsidR="009E764D">
        <w:t>e.g.</w:t>
      </w:r>
      <w:r>
        <w:t>,</w:t>
      </w:r>
      <w:r w:rsidRPr="00487835">
        <w:t xml:space="preserve"> early handover preparation decisions</w:t>
      </w:r>
      <w:r>
        <w:t>, the</w:t>
      </w:r>
      <w:r w:rsidRPr="00487835">
        <w:t xml:space="preserve"> required accuracy may be </w:t>
      </w:r>
      <w:r>
        <w:t>relaxed.</w:t>
      </w:r>
    </w:p>
    <w:p w14:paraId="5DD8C0ED" w14:textId="77777777" w:rsidR="008B76E7" w:rsidRPr="00132E9B" w:rsidRDefault="008B76E7" w:rsidP="008B76E7">
      <w:pPr>
        <w:jc w:val="both"/>
        <w:rPr>
          <w:rFonts w:eastAsia="MS Mincho" w:cstheme="minorHAnsi"/>
          <w:lang w:eastAsia="zh-CN"/>
        </w:rPr>
      </w:pPr>
      <w:r w:rsidRPr="00132E9B">
        <w:rPr>
          <w:rFonts w:eastAsia="MS Mincho" w:cstheme="minorHAnsi"/>
          <w:lang w:eastAsia="zh-CN"/>
        </w:rPr>
        <w:t>In 3GPP TR 38.744 draft [1] the following observations have been captured based on the evaluation results:</w:t>
      </w:r>
    </w:p>
    <w:p w14:paraId="5F6E2C52" w14:textId="77777777" w:rsidR="008B76E7" w:rsidRPr="00132E9B" w:rsidRDefault="008B76E7" w:rsidP="008B76E7">
      <w:pPr>
        <w:rPr>
          <w:lang w:eastAsia="zh-CN"/>
        </w:rPr>
      </w:pPr>
      <w:r w:rsidRPr="00132E9B">
        <w:rPr>
          <w:rFonts w:eastAsia="MS Mincho" w:cstheme="minorHAnsi"/>
          <w:noProof/>
          <w:lang w:eastAsia="zh-CN"/>
        </w:rPr>
        <mc:AlternateContent>
          <mc:Choice Requires="wps">
            <w:drawing>
              <wp:anchor distT="0" distB="0" distL="114300" distR="114300" simplePos="0" relativeHeight="251658240" behindDoc="0" locked="0" layoutInCell="1" allowOverlap="1" wp14:anchorId="3AD2CE25" wp14:editId="443B2374">
                <wp:simplePos x="0" y="0"/>
                <wp:positionH relativeFrom="margin">
                  <wp:align>right</wp:align>
                </wp:positionH>
                <wp:positionV relativeFrom="paragraph">
                  <wp:posOffset>4309</wp:posOffset>
                </wp:positionV>
                <wp:extent cx="6216556" cy="856259"/>
                <wp:effectExtent l="0" t="0" r="13335" b="20320"/>
                <wp:wrapNone/>
                <wp:docPr id="1179171723" name="Rectangle 3"/>
                <wp:cNvGraphicFramePr/>
                <a:graphic xmlns:a="http://schemas.openxmlformats.org/drawingml/2006/main">
                  <a:graphicData uri="http://schemas.microsoft.com/office/word/2010/wordprocessingShape">
                    <wps:wsp>
                      <wps:cNvSpPr/>
                      <wps:spPr>
                        <a:xfrm>
                          <a:off x="0" y="0"/>
                          <a:ext cx="6216556" cy="856259"/>
                        </a:xfrm>
                        <a:prstGeom prst="rect">
                          <a:avLst/>
                        </a:prstGeom>
                        <a:noFill/>
                        <a:ln w="12700" cap="flat" cmpd="sng" algn="ctr">
                          <a:solidFill>
                            <a:srgbClr val="001135"/>
                          </a:solidFill>
                          <a:prstDash val="solid"/>
                          <a:miter lim="800000"/>
                        </a:ln>
                        <a:effectLst/>
                      </wps:spPr>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rect w14:anchorId="2476A43D" id="Rectangle 3" o:spid="_x0000_s1026" style="position:absolute;margin-left:438.3pt;margin-top:.35pt;width:489.5pt;height:67.4pt;z-index:251658240;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" filled="f" strokecolor="#001135" strokeweight="1pt">
                <v:textbox inset="2mm,2mm,2mm,2mm"/>
                <w10:wrap anchorx="margin"/>
              </v:rect>
            </w:pict>
          </mc:Fallback>
        </mc:AlternateContent>
      </w:r>
      <w:r w:rsidRPr="00132E9B">
        <w:rPr>
          <w:lang w:eastAsia="zh-CN"/>
        </w:rPr>
        <w:t>For both FR2 intra-frequency temporal domain case A and FR1 intra-frequency temporal domain case B predictions, the following observations are made:</w:t>
      </w:r>
    </w:p>
    <w:p w14:paraId="20A73908" w14:textId="77777777" w:rsidR="008B76E7" w:rsidRPr="00132E9B" w:rsidRDefault="008B76E7" w:rsidP="008B76E7">
      <w:pPr>
        <w:numPr>
          <w:ilvl w:val="0"/>
          <w:numId w:val="18"/>
        </w:numPr>
        <w:rPr>
          <w:lang w:eastAsia="ja-JP"/>
        </w:rPr>
      </w:pPr>
      <w:r w:rsidRPr="00132E9B">
        <w:rPr>
          <w:lang w:eastAsia="ja-JP"/>
        </w:rPr>
        <w:t>Higher UE speed correlates with decreased prediction accuracy</w:t>
      </w:r>
      <w:r w:rsidRPr="00132E9B">
        <w:rPr>
          <w:rFonts w:hint="eastAsia"/>
          <w:lang w:eastAsia="zh-CN"/>
        </w:rPr>
        <w:t>;</w:t>
      </w:r>
    </w:p>
    <w:p w14:paraId="4A43A951" w14:textId="77777777" w:rsidR="008B76E7" w:rsidRPr="00132E9B" w:rsidRDefault="008B76E7" w:rsidP="008B76E7">
      <w:pPr>
        <w:numPr>
          <w:ilvl w:val="0"/>
          <w:numId w:val="18"/>
        </w:numPr>
        <w:rPr>
          <w:lang w:eastAsia="ja-JP"/>
        </w:rPr>
      </w:pPr>
      <w:r w:rsidRPr="00132E9B">
        <w:rPr>
          <w:lang w:eastAsia="ja-JP"/>
        </w:rPr>
        <w:t>Longer PW length correlates with decreased prediction accuracy</w:t>
      </w:r>
      <w:r w:rsidRPr="00132E9B">
        <w:rPr>
          <w:rFonts w:hint="eastAsia"/>
          <w:lang w:eastAsia="zh-CN"/>
        </w:rPr>
        <w:t>;</w:t>
      </w:r>
    </w:p>
    <w:p w14:paraId="20C37839" w14:textId="77777777" w:rsidR="008B76E7" w:rsidRDefault="008B76E7" w:rsidP="008B76E7">
      <w:pPr>
        <w:jc w:val="both"/>
        <w:rPr>
          <w:rFonts w:eastAsia="MS Mincho" w:cstheme="minorHAnsi"/>
          <w:lang w:eastAsia="zh-CN"/>
        </w:rPr>
      </w:pPr>
      <w:r>
        <w:t>So, if the predictions are accurate enough to utilize them in measurement event condition evaluation may depend on how far in the future the measurements are predicted.</w:t>
      </w:r>
    </w:p>
    <w:p w14:paraId="05E7D67D" w14:textId="77777777" w:rsidR="008B76E7" w:rsidRPr="00487835" w:rsidRDefault="008B76E7" w:rsidP="008B76E7">
      <w:r>
        <w:rPr>
          <w:noProof/>
        </w:rPr>
        <w:lastRenderedPageBreak/>
        <w:drawing>
          <wp:inline distT="0" distB="0" distL="0" distR="0" wp14:anchorId="2BCBF3F5" wp14:editId="4A5AB72D">
            <wp:extent cx="6049722" cy="2996907"/>
            <wp:effectExtent l="0" t="0" r="0" b="0"/>
            <wp:docPr id="632915508" name="Picture 4"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2915508" name="Picture 4" descr="A screenshot of a computer&#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55549" cy="2999793"/>
                    </a:xfrm>
                    <a:prstGeom prst="rect">
                      <a:avLst/>
                    </a:prstGeom>
                    <a:noFill/>
                  </pic:spPr>
                </pic:pic>
              </a:graphicData>
            </a:graphic>
          </wp:inline>
        </w:drawing>
      </w:r>
    </w:p>
    <w:p w14:paraId="2A1C1A3B" w14:textId="07BB5D51" w:rsidR="008B76E7" w:rsidRDefault="008B76E7" w:rsidP="008B76E7">
      <w:pPr>
        <w:keepNext/>
        <w:jc w:val="center"/>
      </w:pPr>
      <w:r w:rsidRPr="00875A44">
        <w:rPr>
          <w:rFonts w:ascii="Arial" w:eastAsia="Arial" w:hAnsi="Arial" w:cs="Arial"/>
          <w:b/>
          <w:lang w:val="en-US" w:eastAsia="zh-CN"/>
        </w:rPr>
        <w:t xml:space="preserve">Figure </w:t>
      </w:r>
      <w:r>
        <w:rPr>
          <w:rFonts w:ascii="Arial" w:eastAsia="Arial" w:hAnsi="Arial" w:cs="Arial"/>
          <w:b/>
          <w:lang w:val="en-US" w:eastAsia="zh-CN"/>
        </w:rPr>
        <w:t>2.</w:t>
      </w:r>
      <w:r w:rsidR="00066FE6">
        <w:rPr>
          <w:rFonts w:ascii="Arial" w:eastAsia="Arial" w:hAnsi="Arial" w:cs="Arial"/>
          <w:b/>
          <w:lang w:val="en-US" w:eastAsia="zh-CN"/>
        </w:rPr>
        <w:t>1</w:t>
      </w:r>
      <w:r w:rsidRPr="00875A44">
        <w:rPr>
          <w:rFonts w:ascii="Arial" w:eastAsia="Arial" w:hAnsi="Arial" w:cs="Arial"/>
          <w:b/>
          <w:lang w:val="en-US" w:eastAsia="zh-CN"/>
        </w:rPr>
        <w:t>-</w:t>
      </w:r>
      <w:r>
        <w:rPr>
          <w:rFonts w:ascii="Arial" w:eastAsia="Arial" w:hAnsi="Arial" w:cs="Arial"/>
          <w:b/>
          <w:lang w:val="en-US" w:eastAsia="zh-CN"/>
        </w:rPr>
        <w:t>1</w:t>
      </w:r>
      <w:r>
        <w:rPr>
          <w:rFonts w:ascii="Arial" w:eastAsia="Arial" w:hAnsi="Arial" w:cs="Arial"/>
          <w:b/>
          <w:lang w:val="en-US"/>
        </w:rPr>
        <w:t xml:space="preserve"> </w:t>
      </w:r>
      <w:r w:rsidRPr="00CE5CED">
        <w:rPr>
          <w:rFonts w:ascii="Arial" w:eastAsia="Arial" w:hAnsi="Arial" w:cs="Arial"/>
          <w:b/>
          <w:lang w:val="en-US"/>
        </w:rPr>
        <w:t>Temporal Domain Case B Predictive Filter Sub-Case 1 with unfiltered L1 measurements as input</w:t>
      </w:r>
    </w:p>
    <w:p w14:paraId="13271258" w14:textId="38AFAB29" w:rsidR="008B76E7" w:rsidRPr="00487835" w:rsidRDefault="008B76E7" w:rsidP="008B76E7">
      <w:pPr>
        <w:rPr>
          <w:lang w:eastAsia="da-DK"/>
        </w:rPr>
      </w:pPr>
      <w:r w:rsidRPr="00487835">
        <w:rPr>
          <w:lang w:eastAsia="da-DK"/>
        </w:rPr>
        <w:t xml:space="preserve">Furthermore, the “state machine” of evaluating a measurement event may include both measurements and predictions, for example when predicting if an A3 condition will hold for the duration of the TTT after the A3 entry condition has been fulfilled, as shown in the example in Figure </w:t>
      </w:r>
      <w:r>
        <w:rPr>
          <w:lang w:eastAsia="da-DK"/>
        </w:rPr>
        <w:t>2.</w:t>
      </w:r>
      <w:r w:rsidR="00066FE6">
        <w:rPr>
          <w:lang w:eastAsia="da-DK"/>
        </w:rPr>
        <w:t>1</w:t>
      </w:r>
      <w:r>
        <w:rPr>
          <w:lang w:eastAsia="da-DK"/>
        </w:rPr>
        <w:t>-1</w:t>
      </w:r>
      <w:r w:rsidRPr="00487835">
        <w:rPr>
          <w:lang w:eastAsia="da-DK"/>
        </w:rPr>
        <w:t xml:space="preserve">. </w:t>
      </w:r>
      <w:r w:rsidR="007563B1">
        <w:rPr>
          <w:lang w:eastAsia="da-DK"/>
        </w:rPr>
        <w:t>I</w:t>
      </w:r>
      <w:r w:rsidRPr="00487835">
        <w:rPr>
          <w:lang w:eastAsia="da-DK"/>
        </w:rPr>
        <w:t xml:space="preserve">t </w:t>
      </w:r>
      <w:r w:rsidR="007563B1">
        <w:rPr>
          <w:lang w:eastAsia="da-DK"/>
        </w:rPr>
        <w:t>may</w:t>
      </w:r>
      <w:r w:rsidRPr="00487835">
        <w:rPr>
          <w:lang w:eastAsia="da-DK"/>
        </w:rPr>
        <w:t xml:space="preserve"> be </w:t>
      </w:r>
      <w:r w:rsidR="007563B1">
        <w:rPr>
          <w:lang w:eastAsia="da-DK"/>
        </w:rPr>
        <w:t>necessary</w:t>
      </w:r>
      <w:r w:rsidRPr="00487835">
        <w:rPr>
          <w:lang w:eastAsia="da-DK"/>
        </w:rPr>
        <w:t xml:space="preserve"> for the network to configure how either measurements or predictions may be used by the UE to evaluate measurement reporting criteria, and if measurements and/or predictions should be reported. Furthermore, </w:t>
      </w:r>
      <w:r w:rsidR="00E718F8">
        <w:rPr>
          <w:lang w:eastAsia="da-DK"/>
        </w:rPr>
        <w:t>depending on the scenario</w:t>
      </w:r>
      <w:r w:rsidRPr="00487835">
        <w:rPr>
          <w:lang w:eastAsia="da-DK"/>
        </w:rPr>
        <w:t xml:space="preserve">, </w:t>
      </w:r>
      <w:r>
        <w:rPr>
          <w:lang w:eastAsia="da-DK"/>
        </w:rPr>
        <w:t>the predictions</w:t>
      </w:r>
      <w:r w:rsidRPr="00487835">
        <w:rPr>
          <w:lang w:eastAsia="da-DK"/>
        </w:rPr>
        <w:t xml:space="preserve"> may be accurate enough for the reporting condition evaluation</w:t>
      </w:r>
      <w:r>
        <w:rPr>
          <w:lang w:eastAsia="da-DK"/>
        </w:rPr>
        <w:t xml:space="preserve"> only in part of the</w:t>
      </w:r>
      <w:r w:rsidRPr="00487835">
        <w:rPr>
          <w:lang w:eastAsia="da-DK"/>
        </w:rPr>
        <w:t xml:space="preserve"> PW.</w:t>
      </w:r>
    </w:p>
    <w:p w14:paraId="5CF76354" w14:textId="432B27DF" w:rsidR="008B76E7" w:rsidRDefault="008B76E7" w:rsidP="008B76E7">
      <w:r w:rsidRPr="00435592">
        <w:rPr>
          <w:b/>
          <w:bCs/>
        </w:rPr>
        <w:t xml:space="preserve">Observation </w:t>
      </w:r>
      <w:r w:rsidR="00E15F49">
        <w:rPr>
          <w:b/>
          <w:bCs/>
        </w:rPr>
        <w:t>4</w:t>
      </w:r>
      <w:r w:rsidRPr="00435592">
        <w:rPr>
          <w:b/>
          <w:bCs/>
        </w:rPr>
        <w:t>:</w:t>
      </w:r>
      <w:r>
        <w:t xml:space="preserve"> </w:t>
      </w:r>
      <w:r>
        <w:rPr>
          <w:lang w:eastAsia="da-DK"/>
        </w:rPr>
        <w:t>The predictions</w:t>
      </w:r>
      <w:r w:rsidRPr="00487835">
        <w:rPr>
          <w:lang w:eastAsia="da-DK"/>
        </w:rPr>
        <w:t xml:space="preserve"> may be accurate enough for the reporting condition evaluation</w:t>
      </w:r>
      <w:r>
        <w:rPr>
          <w:lang w:eastAsia="da-DK"/>
        </w:rPr>
        <w:t xml:space="preserve"> only in</w:t>
      </w:r>
      <w:r w:rsidR="007F4571">
        <w:rPr>
          <w:lang w:eastAsia="da-DK"/>
        </w:rPr>
        <w:t xml:space="preserve"> some</w:t>
      </w:r>
      <w:r>
        <w:rPr>
          <w:lang w:eastAsia="da-DK"/>
        </w:rPr>
        <w:t xml:space="preserve"> part</w:t>
      </w:r>
      <w:r w:rsidR="007F4571">
        <w:rPr>
          <w:lang w:eastAsia="da-DK"/>
        </w:rPr>
        <w:t>s</w:t>
      </w:r>
      <w:r>
        <w:rPr>
          <w:lang w:eastAsia="da-DK"/>
        </w:rPr>
        <w:t xml:space="preserve"> of the</w:t>
      </w:r>
      <w:r w:rsidRPr="00487835">
        <w:rPr>
          <w:lang w:eastAsia="da-DK"/>
        </w:rPr>
        <w:t xml:space="preserve"> PW</w:t>
      </w:r>
      <w:r w:rsidR="00E15F49">
        <w:rPr>
          <w:lang w:eastAsia="da-DK"/>
        </w:rPr>
        <w:t>.</w:t>
      </w:r>
    </w:p>
    <w:p w14:paraId="19AA718C" w14:textId="0BFA21C6" w:rsidR="008B76E7" w:rsidRDefault="008B76E7" w:rsidP="008B76E7">
      <w:r w:rsidRPr="00435592">
        <w:rPr>
          <w:b/>
          <w:bCs/>
        </w:rPr>
        <w:t xml:space="preserve">Proposal </w:t>
      </w:r>
      <w:r w:rsidR="007F4571">
        <w:rPr>
          <w:b/>
          <w:bCs/>
        </w:rPr>
        <w:t>1</w:t>
      </w:r>
      <w:r w:rsidRPr="00435592">
        <w:rPr>
          <w:b/>
          <w:bCs/>
        </w:rPr>
        <w:t>:</w:t>
      </w:r>
      <w:r>
        <w:t xml:space="preserve"> RAN2 to specify </w:t>
      </w:r>
      <w:r w:rsidR="0079769B">
        <w:t xml:space="preserve">the prediction reporting </w:t>
      </w:r>
      <w:r w:rsidR="00E26690">
        <w:t xml:space="preserve">criteria </w:t>
      </w:r>
      <w:r w:rsidR="0079769B">
        <w:t>configuration</w:t>
      </w:r>
      <w:r>
        <w:t xml:space="preserve"> in</w:t>
      </w:r>
      <w:r w:rsidR="00E26690">
        <w:t xml:space="preserve"> the </w:t>
      </w:r>
      <w:r>
        <w:t>WI</w:t>
      </w:r>
      <w:r w:rsidR="008969AB">
        <w:t xml:space="preserve"> phase</w:t>
      </w:r>
      <w:r>
        <w:t>,</w:t>
      </w:r>
      <w:r w:rsidR="00E26690">
        <w:t xml:space="preserve"> including how the </w:t>
      </w:r>
      <w:r w:rsidR="00404E37">
        <w:t>expected accuracy of the predictions should be considered</w:t>
      </w:r>
      <w:r>
        <w:t>.</w:t>
      </w:r>
    </w:p>
    <w:p w14:paraId="0E98CBB3" w14:textId="14BC9EFB" w:rsidR="008B549E" w:rsidRDefault="007224A8" w:rsidP="007224A8">
      <w:pPr>
        <w:pStyle w:val="Heading2"/>
        <w:numPr>
          <w:ilvl w:val="1"/>
          <w:numId w:val="25"/>
        </w:numPr>
      </w:pPr>
      <w:r>
        <w:t>Direct Measurement Event Prediction</w:t>
      </w:r>
    </w:p>
    <w:p w14:paraId="2F97F284" w14:textId="4BED706A" w:rsidR="00F246A6" w:rsidRDefault="00F246A6" w:rsidP="00F246A6">
      <w:r>
        <w:t xml:space="preserve">When the network configures the UE to perform direct measurement event prediction, the UE sends a prediction report to the network whenever </w:t>
      </w:r>
      <w:r w:rsidR="00D35CDE">
        <w:t>the configured</w:t>
      </w:r>
      <w:r>
        <w:t xml:space="preserve"> event is predicted to occur. The prediction report should contain information on what type of event it is (A1-A6, B1-B2, handover, HOF, RLF, etc.) and what kind of metadata is related to this event. For example, it is not enough that the network knows a handover is predicted to happen for </w:t>
      </w:r>
      <w:r w:rsidR="00176F66">
        <w:t>a</w:t>
      </w:r>
      <w:r>
        <w:t xml:space="preserve"> specific UE, but it should also know the source and target cells for that handover.</w:t>
      </w:r>
      <w:r w:rsidR="00CB013A">
        <w:t xml:space="preserve"> The network may also configure the UEs with several </w:t>
      </w:r>
      <w:r w:rsidR="000E267C">
        <w:t>events to predict, which raises the need to identify which even the prediction report belongs to.</w:t>
      </w:r>
    </w:p>
    <w:p w14:paraId="68053ADD" w14:textId="0732E86C" w:rsidR="00F246A6" w:rsidRDefault="00F246A6" w:rsidP="00F246A6">
      <w:r>
        <w:t>Therefore, when the network configures the UEs with measurement event prediction, it should also configure them with corresponding prediction IDs to identify what kind of event and what kind of metadata is associated with that event. Then when the UE sends the prediction report, it sends the correct prediction ID along with it.</w:t>
      </w:r>
    </w:p>
    <w:p w14:paraId="2BB0251A" w14:textId="75F6E0F5" w:rsidR="00F246A6" w:rsidRPr="00F246A6" w:rsidRDefault="00F246A6" w:rsidP="00F246A6">
      <w:pPr>
        <w:rPr>
          <w:b/>
          <w:bCs/>
        </w:rPr>
      </w:pPr>
      <w:r w:rsidRPr="00F246A6">
        <w:rPr>
          <w:b/>
          <w:bCs/>
        </w:rPr>
        <w:t xml:space="preserve">Observation </w:t>
      </w:r>
      <w:r w:rsidR="007F4571">
        <w:rPr>
          <w:b/>
          <w:bCs/>
        </w:rPr>
        <w:t>5</w:t>
      </w:r>
      <w:r w:rsidRPr="00F246A6">
        <w:rPr>
          <w:b/>
          <w:bCs/>
        </w:rPr>
        <w:t xml:space="preserve">: </w:t>
      </w:r>
      <w:r w:rsidR="002B7F42" w:rsidRPr="00EE410A">
        <w:t>The UE needs to identify</w:t>
      </w:r>
      <w:r w:rsidR="00EE410A">
        <w:t>,</w:t>
      </w:r>
      <w:r w:rsidR="002B7F42" w:rsidRPr="00EE410A">
        <w:t xml:space="preserve"> in the prediction report</w:t>
      </w:r>
      <w:r w:rsidR="00EE410A">
        <w:t xml:space="preserve">, the type of event and </w:t>
      </w:r>
      <w:r w:rsidR="004C6C34">
        <w:t>the metadata associated with it.</w:t>
      </w:r>
    </w:p>
    <w:p w14:paraId="5FB3EDF4" w14:textId="00BBB90B" w:rsidR="007224A8" w:rsidRDefault="00F246A6" w:rsidP="00F246A6">
      <w:r w:rsidRPr="00F246A6">
        <w:rPr>
          <w:b/>
          <w:bCs/>
        </w:rPr>
        <w:t xml:space="preserve">Proposal </w:t>
      </w:r>
      <w:r w:rsidR="00A7643C">
        <w:rPr>
          <w:b/>
          <w:bCs/>
        </w:rPr>
        <w:t>2</w:t>
      </w:r>
      <w:r w:rsidRPr="00F246A6">
        <w:rPr>
          <w:b/>
          <w:bCs/>
        </w:rPr>
        <w:t>:</w:t>
      </w:r>
      <w:r w:rsidR="004C6C34">
        <w:rPr>
          <w:b/>
          <w:bCs/>
        </w:rPr>
        <w:t xml:space="preserve"> </w:t>
      </w:r>
      <w:r w:rsidR="004C6C34" w:rsidRPr="004C6C34">
        <w:t>RAN2</w:t>
      </w:r>
      <w:r w:rsidR="005E6778">
        <w:t xml:space="preserve"> to specify how to identify the type of event and its metadata in each prediction report.</w:t>
      </w:r>
    </w:p>
    <w:p w14:paraId="734C6601" w14:textId="12882C38" w:rsidR="00702EFC" w:rsidRDefault="00702EFC" w:rsidP="00702EFC">
      <w:r>
        <w:t>In our simulation evaluations, we have observed that in scenarios where UEs have a random-walk kind of movement, it is very challenging for ML models to learn patterns in the input data, which are mainly measurement time series. ML models can more easily learn to correlate the measurement time series with the desired output (measurement events in this case) when the movements of at least some UEs follow relatively consistent patterns (e.g. walking along a street lane</w:t>
      </w:r>
      <w:r w:rsidR="00563284">
        <w:t>, highways, or railways</w:t>
      </w:r>
      <w:r>
        <w:t>).</w:t>
      </w:r>
    </w:p>
    <w:p w14:paraId="54F239BC" w14:textId="79B03480" w:rsidR="00702EFC" w:rsidRPr="004C6C34" w:rsidRDefault="00702EFC" w:rsidP="00702EFC">
      <w:r w:rsidRPr="001F2041">
        <w:rPr>
          <w:b/>
          <w:bCs/>
        </w:rPr>
        <w:t xml:space="preserve">Observation </w:t>
      </w:r>
      <w:r w:rsidR="00175CC1">
        <w:rPr>
          <w:b/>
          <w:bCs/>
        </w:rPr>
        <w:t>6</w:t>
      </w:r>
      <w:r w:rsidRPr="001F2041">
        <w:rPr>
          <w:b/>
          <w:bCs/>
        </w:rPr>
        <w:t>:</w:t>
      </w:r>
      <w:r>
        <w:t xml:space="preserve"> ML models learn better when at least some UEs have relatively similar movement patterns, e.g. walking along a street lane.</w:t>
      </w:r>
    </w:p>
    <w:p w14:paraId="0316355D" w14:textId="0056541A" w:rsidR="005E6778" w:rsidRDefault="00702EFC" w:rsidP="00F246A6">
      <w:r>
        <w:lastRenderedPageBreak/>
        <w:t>We have also</w:t>
      </w:r>
      <w:r w:rsidR="00472EAC">
        <w:t xml:space="preserve"> observed that n</w:t>
      </w:r>
      <w:r w:rsidR="00074BB6">
        <w:t xml:space="preserve">etwork-sided models </w:t>
      </w:r>
      <w:r w:rsidR="00273E0D">
        <w:t xml:space="preserve">tend to </w:t>
      </w:r>
      <w:r w:rsidR="00074BB6">
        <w:t>have access to more data than UE-sided models during training.</w:t>
      </w:r>
      <w:r w:rsidR="00A50B86">
        <w:t xml:space="preserve"> Moreover, when</w:t>
      </w:r>
      <w:r w:rsidR="00CB4BD7">
        <w:t xml:space="preserve"> a network-sided model is trained, the model can learn cell- or site-specific patterns that</w:t>
      </w:r>
      <w:r w:rsidR="00E9275F">
        <w:t xml:space="preserve"> enhance its performance compared to generic models</w:t>
      </w:r>
      <w:r w:rsidR="00BA7ED6">
        <w:t xml:space="preserve"> that </w:t>
      </w:r>
      <w:r w:rsidR="00DB4A77">
        <w:t xml:space="preserve">have no cell- or site-specific </w:t>
      </w:r>
      <w:r w:rsidR="008F2E73">
        <w:t>information.</w:t>
      </w:r>
      <w:r w:rsidR="00E145D5">
        <w:t xml:space="preserve"> Therefore, we propose that</w:t>
      </w:r>
      <w:r w:rsidR="008F4F04">
        <w:t xml:space="preserve"> RAN2</w:t>
      </w:r>
      <w:r w:rsidR="00CA79A9">
        <w:t xml:space="preserve"> to</w:t>
      </w:r>
      <w:r w:rsidR="00127863">
        <w:t xml:space="preserve"> </w:t>
      </w:r>
      <w:r w:rsidR="001A1113">
        <w:t>specify</w:t>
      </w:r>
      <w:r w:rsidR="00127863">
        <w:t xml:space="preserve"> how the network can</w:t>
      </w:r>
      <w:r w:rsidR="009006F6">
        <w:t xml:space="preserve"> assist UE</w:t>
      </w:r>
      <w:r w:rsidR="007309F1">
        <w:t>-sided models with cell- or site-specific assistance information</w:t>
      </w:r>
      <w:r w:rsidR="00686C37">
        <w:t xml:space="preserve"> that have the potential to enhance UE-sided models’ performance.</w:t>
      </w:r>
    </w:p>
    <w:p w14:paraId="7F1977CE" w14:textId="6C145C7D" w:rsidR="00686C37" w:rsidRDefault="002E4CA9" w:rsidP="00F246A6">
      <w:r w:rsidRPr="002E4CA9">
        <w:rPr>
          <w:b/>
          <w:bCs/>
        </w:rPr>
        <w:t xml:space="preserve">Observation </w:t>
      </w:r>
      <w:r w:rsidR="001668FE">
        <w:rPr>
          <w:b/>
          <w:bCs/>
        </w:rPr>
        <w:t>7</w:t>
      </w:r>
      <w:r w:rsidRPr="002E4CA9">
        <w:rPr>
          <w:b/>
          <w:bCs/>
        </w:rPr>
        <w:t>:</w:t>
      </w:r>
      <w:r>
        <w:t xml:space="preserve"> NW-sided models have access to more training data and to cell- or site-specific information.</w:t>
      </w:r>
    </w:p>
    <w:p w14:paraId="0C9F9747" w14:textId="545A29C9" w:rsidR="00E528A7" w:rsidRPr="00E528A7" w:rsidRDefault="002E4CA9" w:rsidP="00702EFC">
      <w:r w:rsidRPr="002E4CA9">
        <w:rPr>
          <w:b/>
          <w:bCs/>
        </w:rPr>
        <w:t xml:space="preserve">Proposal </w:t>
      </w:r>
      <w:r w:rsidR="001668FE">
        <w:rPr>
          <w:b/>
          <w:bCs/>
        </w:rPr>
        <w:t>3</w:t>
      </w:r>
      <w:r w:rsidRPr="002E4CA9">
        <w:rPr>
          <w:b/>
          <w:bCs/>
        </w:rPr>
        <w:t>:</w:t>
      </w:r>
      <w:r>
        <w:t xml:space="preserve"> </w:t>
      </w:r>
      <w:r w:rsidR="00C2707B">
        <w:t xml:space="preserve">Discuss specification impact </w:t>
      </w:r>
      <w:r w:rsidR="00873807">
        <w:t xml:space="preserve">on </w:t>
      </w:r>
      <w:r>
        <w:t>network assist</w:t>
      </w:r>
      <w:r w:rsidR="00873807">
        <w:t>ance for</w:t>
      </w:r>
      <w:r>
        <w:t xml:space="preserve"> UE-sided models with cell- or site-specific information</w:t>
      </w:r>
      <w:r w:rsidR="00A46A95">
        <w:t>.</w:t>
      </w:r>
    </w:p>
    <w:p w14:paraId="022A5893" w14:textId="0AC7129E" w:rsidR="009E63A5" w:rsidRDefault="009E63A5" w:rsidP="009E63A5">
      <w:pPr>
        <w:pStyle w:val="Heading2"/>
        <w:numPr>
          <w:ilvl w:val="1"/>
          <w:numId w:val="25"/>
        </w:numPr>
      </w:pPr>
      <w:r>
        <w:t>Monitoring KPIs</w:t>
      </w:r>
    </w:p>
    <w:p w14:paraId="2689AD38" w14:textId="045134CA" w:rsidR="009E63A5" w:rsidRPr="009E63A5" w:rsidRDefault="00244BD3" w:rsidP="009E63A5">
      <w:r w:rsidRPr="00244BD3">
        <w:t xml:space="preserve">In case the UE-sided model experiences model or concept drift, it is necessary for it to inform the network that the quality of its predictions </w:t>
      </w:r>
      <w:r w:rsidR="00745F35" w:rsidRPr="00244BD3">
        <w:t>is</w:t>
      </w:r>
      <w:r w:rsidRPr="00244BD3">
        <w:t xml:space="preserve"> degrading, so that the network can choose to not respond to wrong or uncertain predictions.</w:t>
      </w:r>
      <w:r w:rsidR="00745F35">
        <w:t xml:space="preserve"> This can be achieved by either the UE signal</w:t>
      </w:r>
      <w:r w:rsidR="0045715A">
        <w:t>ling its own KPIs that is has c</w:t>
      </w:r>
      <w:r w:rsidR="005D7BEF">
        <w:t>alculated (precision, recall, F1 score) or by the UE signalling both the predictions and the ground truth information to the network, where the network can monitor the performance of the model as part of its implementation.</w:t>
      </w:r>
    </w:p>
    <w:p w14:paraId="4161C806" w14:textId="00CE8173" w:rsidR="009A67CE" w:rsidRDefault="009A67CE" w:rsidP="009E63A5">
      <w:r>
        <w:t xml:space="preserve">In the first option, </w:t>
      </w:r>
      <w:r w:rsidR="005A6976" w:rsidRPr="005A6976">
        <w:t xml:space="preserve">the UE calculates the monitoring KPIs in a monitoring window and signals the results to the network either periodically or when the KPIs fall below a threshold. In the second option, the UE sends the event predictions to the network, and the network logs the event occurrences and </w:t>
      </w:r>
      <w:r w:rsidR="005A6976">
        <w:t xml:space="preserve">can </w:t>
      </w:r>
      <w:r w:rsidR="005A6976" w:rsidRPr="005A6976">
        <w:t>calculate the performance KPIs based on that.</w:t>
      </w:r>
    </w:p>
    <w:p w14:paraId="26D5FF89" w14:textId="2C3FBC01" w:rsidR="0040408D" w:rsidRDefault="0040408D" w:rsidP="009E63A5">
      <w:r w:rsidRPr="00135ADC">
        <w:rPr>
          <w:b/>
          <w:bCs/>
        </w:rPr>
        <w:t xml:space="preserve">Proposal </w:t>
      </w:r>
      <w:r w:rsidR="001325FE">
        <w:rPr>
          <w:b/>
          <w:bCs/>
        </w:rPr>
        <w:t>4</w:t>
      </w:r>
      <w:r w:rsidRPr="00135ADC">
        <w:rPr>
          <w:b/>
          <w:bCs/>
        </w:rPr>
        <w:t>:</w:t>
      </w:r>
      <w:r>
        <w:t xml:space="preserve"> RAN2 to consider two options to </w:t>
      </w:r>
      <w:r w:rsidR="00ED4401">
        <w:t xml:space="preserve">perform monitoring for measurement event prediction: (1) </w:t>
      </w:r>
      <w:r w:rsidR="004B58DA">
        <w:t>The UE signals its own monitoring KPIs to the network</w:t>
      </w:r>
      <w:r w:rsidR="00ED35AC">
        <w:t>;</w:t>
      </w:r>
      <w:r w:rsidR="004B58DA">
        <w:t xml:space="preserve"> (2) The UE signals the </w:t>
      </w:r>
      <w:r w:rsidR="00ED35AC">
        <w:t>predictions,</w:t>
      </w:r>
      <w:r w:rsidR="004B58DA">
        <w:t xml:space="preserve"> and their ground truth labels, and the network does the monitoring as part of its implementation.</w:t>
      </w:r>
    </w:p>
    <w:p w14:paraId="79B120DC" w14:textId="7FFEA9F2" w:rsidR="005B02CE" w:rsidRPr="004255CB" w:rsidRDefault="00352E5B" w:rsidP="00AA4688">
      <w:pPr>
        <w:rPr>
          <w:lang w:val="en-US"/>
        </w:rPr>
      </w:pPr>
      <w:r>
        <w:t xml:space="preserve">When it comes to measurement event prediction, we observe that </w:t>
      </w:r>
      <w:r w:rsidR="00B25541">
        <w:t>false positives have a higher cost than false negatives. In case of the latter,</w:t>
      </w:r>
      <w:r w:rsidR="00EA62F1">
        <w:t xml:space="preserve"> i.e. when a UE predicts that an event </w:t>
      </w:r>
      <w:r w:rsidR="00484300">
        <w:t xml:space="preserve">will </w:t>
      </w:r>
      <w:r w:rsidR="003A624C">
        <w:t xml:space="preserve">not </w:t>
      </w:r>
      <w:proofErr w:type="gramStart"/>
      <w:r w:rsidR="00484300">
        <w:t>occur</w:t>
      </w:r>
      <w:proofErr w:type="gramEnd"/>
      <w:r w:rsidR="00484300">
        <w:t xml:space="preserve"> but it </w:t>
      </w:r>
      <w:proofErr w:type="gramStart"/>
      <w:r w:rsidR="003A624C">
        <w:t>actually</w:t>
      </w:r>
      <w:r w:rsidR="00484300">
        <w:t xml:space="preserve"> occur</w:t>
      </w:r>
      <w:r w:rsidR="003A624C">
        <w:t>s</w:t>
      </w:r>
      <w:proofErr w:type="gramEnd"/>
      <w:r w:rsidR="00484300">
        <w:t>,</w:t>
      </w:r>
      <w:r w:rsidR="00AF37F1">
        <w:t xml:space="preserve"> the UE</w:t>
      </w:r>
      <w:r w:rsidR="00D93138">
        <w:t xml:space="preserve"> can </w:t>
      </w:r>
      <w:r w:rsidR="003A624C">
        <w:t xml:space="preserve">fall back to the legacy procedure of using current measurements to </w:t>
      </w:r>
      <w:r w:rsidR="00A877ED">
        <w:t xml:space="preserve">e.g. </w:t>
      </w:r>
      <w:r w:rsidR="003E02AC">
        <w:t xml:space="preserve">trigger an A3 event entry and </w:t>
      </w:r>
      <w:r w:rsidR="00AB633C">
        <w:t>wait for the TTT.</w:t>
      </w:r>
      <w:r w:rsidR="00931C91">
        <w:t xml:space="preserve"> In contrast, when </w:t>
      </w:r>
      <w:r w:rsidR="00B50AC6">
        <w:t xml:space="preserve">a UE predicts that an event will </w:t>
      </w:r>
      <w:proofErr w:type="gramStart"/>
      <w:r w:rsidR="00B50AC6">
        <w:t>occur</w:t>
      </w:r>
      <w:proofErr w:type="gramEnd"/>
      <w:r w:rsidR="00B50AC6">
        <w:t xml:space="preserve"> but it doesn’t occur (false positive), the network will have wasted </w:t>
      </w:r>
      <w:r w:rsidR="008345D4">
        <w:t>whatever preparations it has performed in anticipation of the event.</w:t>
      </w:r>
      <w:r w:rsidR="00AA4688">
        <w:t xml:space="preserve"> To account for such an observation in the monitoring KPIs, we propose to use the precision or the false positive rate as a UE-sided monitoring KPI</w:t>
      </w:r>
      <w:r w:rsidR="00075BAB">
        <w:t>.</w:t>
      </w:r>
    </w:p>
    <w:p w14:paraId="2DC8CA9E" w14:textId="0D496DE0" w:rsidR="00841E40" w:rsidRDefault="00841E40" w:rsidP="009E63A5">
      <w:r w:rsidRPr="005253C8">
        <w:rPr>
          <w:b/>
          <w:bCs/>
        </w:rPr>
        <w:t xml:space="preserve">Observation </w:t>
      </w:r>
      <w:r w:rsidR="00516E47">
        <w:rPr>
          <w:b/>
          <w:bCs/>
        </w:rPr>
        <w:t>8</w:t>
      </w:r>
      <w:r w:rsidRPr="005253C8">
        <w:rPr>
          <w:b/>
          <w:bCs/>
        </w:rPr>
        <w:t>:</w:t>
      </w:r>
      <w:r w:rsidR="001E4982">
        <w:t xml:space="preserve"> A</w:t>
      </w:r>
      <w:r w:rsidR="002170AE">
        <w:t xml:space="preserve"> false positive measurement event prediction </w:t>
      </w:r>
      <w:r w:rsidR="005F6E14">
        <w:t xml:space="preserve">results in the network wasting </w:t>
      </w:r>
      <w:r w:rsidR="00DC4F73">
        <w:t>the preparations it has done in anticipation of the event.</w:t>
      </w:r>
    </w:p>
    <w:p w14:paraId="1A0A1171" w14:textId="526A0C64" w:rsidR="00DC4F73" w:rsidRDefault="00DC4F73" w:rsidP="009E63A5">
      <w:r w:rsidRPr="005253C8">
        <w:rPr>
          <w:b/>
          <w:bCs/>
        </w:rPr>
        <w:t xml:space="preserve">Observation </w:t>
      </w:r>
      <w:r w:rsidR="00516E47">
        <w:rPr>
          <w:b/>
          <w:bCs/>
        </w:rPr>
        <w:t>9</w:t>
      </w:r>
      <w:r w:rsidRPr="005253C8">
        <w:rPr>
          <w:b/>
          <w:bCs/>
        </w:rPr>
        <w:t>:</w:t>
      </w:r>
      <w:r>
        <w:t xml:space="preserve"> </w:t>
      </w:r>
      <w:r w:rsidR="005253C8">
        <w:t>In case of a</w:t>
      </w:r>
      <w:r>
        <w:t xml:space="preserve"> false negative measurement event prediction</w:t>
      </w:r>
      <w:r w:rsidR="005253C8">
        <w:t>, the UE/NW can fall back to the legacy behaviour</w:t>
      </w:r>
      <w:r w:rsidR="007847FE">
        <w:t xml:space="preserve"> of measurement reporting, </w:t>
      </w:r>
      <w:r w:rsidR="0087708F">
        <w:t xml:space="preserve">which </w:t>
      </w:r>
      <w:r w:rsidR="007B14F9">
        <w:t>poses virtually no concern.</w:t>
      </w:r>
      <w:r w:rsidR="0087708F">
        <w:t xml:space="preserve"> </w:t>
      </w:r>
    </w:p>
    <w:p w14:paraId="1BB44417" w14:textId="4FD9DF5E" w:rsidR="44B80BCE" w:rsidRDefault="44B80BCE">
      <w:r w:rsidRPr="047225FD">
        <w:rPr>
          <w:b/>
          <w:bCs/>
        </w:rPr>
        <w:t xml:space="preserve">Observation </w:t>
      </w:r>
      <w:r w:rsidR="00516E47">
        <w:rPr>
          <w:b/>
          <w:bCs/>
        </w:rPr>
        <w:t>10</w:t>
      </w:r>
      <w:r w:rsidRPr="047225FD">
        <w:rPr>
          <w:b/>
          <w:bCs/>
        </w:rPr>
        <w:t>:</w:t>
      </w:r>
      <w:r>
        <w:t xml:space="preserve"> In measurement event prediction, false positives have a higher cost than false negatives.</w:t>
      </w:r>
    </w:p>
    <w:p w14:paraId="2BE5B522" w14:textId="2200B9C9" w:rsidR="009E63A5" w:rsidRPr="00E528A7" w:rsidRDefault="00AA4688" w:rsidP="00702EFC">
      <w:r w:rsidRPr="00E67522">
        <w:rPr>
          <w:b/>
          <w:bCs/>
        </w:rPr>
        <w:t xml:space="preserve">Proposal </w:t>
      </w:r>
      <w:r w:rsidR="00DE1C16">
        <w:rPr>
          <w:b/>
          <w:bCs/>
        </w:rPr>
        <w:t>5</w:t>
      </w:r>
      <w:r w:rsidRPr="00E67522">
        <w:rPr>
          <w:b/>
          <w:bCs/>
        </w:rPr>
        <w:t>:</w:t>
      </w:r>
      <w:r>
        <w:t xml:space="preserve"> </w:t>
      </w:r>
      <w:r w:rsidR="00E67522">
        <w:t>Use the precision or false positive rate as a UE-sided monitoring KPI in measurement event prediction.</w:t>
      </w:r>
    </w:p>
    <w:p w14:paraId="16CB5684" w14:textId="77777777" w:rsidR="008B549E" w:rsidRPr="006E13D1" w:rsidRDefault="008B549E" w:rsidP="008B549E">
      <w:pPr>
        <w:pStyle w:val="Heading1"/>
      </w:pPr>
      <w:r>
        <w:t>3</w:t>
      </w:r>
      <w:r w:rsidRPr="006E13D1">
        <w:tab/>
      </w:r>
      <w:r>
        <w:t>Conclusion</w:t>
      </w:r>
    </w:p>
    <w:p w14:paraId="766D4156" w14:textId="77777777" w:rsidR="008B549E" w:rsidRPr="006E13D1" w:rsidRDefault="008B549E" w:rsidP="008B549E">
      <w:r>
        <w:t>This document has made the following observations:</w:t>
      </w:r>
    </w:p>
    <w:p w14:paraId="227F61C2" w14:textId="77777777" w:rsidR="001F034E" w:rsidRDefault="001F034E" w:rsidP="001F034E">
      <w:pPr>
        <w:jc w:val="both"/>
      </w:pPr>
      <w:r w:rsidRPr="00487835">
        <w:rPr>
          <w:b/>
          <w:bCs/>
        </w:rPr>
        <w:t xml:space="preserve">Observation </w:t>
      </w:r>
      <w:r>
        <w:rPr>
          <w:b/>
          <w:bCs/>
        </w:rPr>
        <w:t>1</w:t>
      </w:r>
      <w:r w:rsidRPr="00487835">
        <w:rPr>
          <w:b/>
          <w:bCs/>
        </w:rPr>
        <w:t>:</w:t>
      </w:r>
      <w:r>
        <w:t xml:space="preserve"> The required accuracy of </w:t>
      </w:r>
      <w:r w:rsidRPr="00132E9B">
        <w:rPr>
          <w:rFonts w:eastAsia="MS Mincho" w:cstheme="minorHAnsi"/>
          <w:lang w:eastAsia="zh-CN"/>
        </w:rPr>
        <w:t>measurement predictions</w:t>
      </w:r>
      <w:r>
        <w:t xml:space="preserve"> depends on how the measurements and/or predictions are used.</w:t>
      </w:r>
    </w:p>
    <w:p w14:paraId="0BD618C3" w14:textId="77777777" w:rsidR="001F034E" w:rsidRDefault="001F034E" w:rsidP="001F034E">
      <w:pPr>
        <w:jc w:val="both"/>
      </w:pPr>
      <w:r w:rsidRPr="00487835">
        <w:rPr>
          <w:b/>
          <w:bCs/>
        </w:rPr>
        <w:t xml:space="preserve">Observation </w:t>
      </w:r>
      <w:r>
        <w:rPr>
          <w:b/>
          <w:bCs/>
        </w:rPr>
        <w:t>2</w:t>
      </w:r>
      <w:r w:rsidRPr="00487835">
        <w:rPr>
          <w:b/>
          <w:bCs/>
        </w:rPr>
        <w:t>:</w:t>
      </w:r>
      <w:r>
        <w:t xml:space="preserve"> Temporal domain case B measurement prediction may require high accuracy, comparable to the accuracy of the actual measurements.</w:t>
      </w:r>
    </w:p>
    <w:p w14:paraId="2F8096AE" w14:textId="77777777" w:rsidR="001F034E" w:rsidRDefault="001F034E" w:rsidP="001F034E">
      <w:pPr>
        <w:jc w:val="both"/>
      </w:pPr>
      <w:r w:rsidRPr="00487835">
        <w:rPr>
          <w:b/>
          <w:bCs/>
        </w:rPr>
        <w:t xml:space="preserve">Observation </w:t>
      </w:r>
      <w:r>
        <w:rPr>
          <w:b/>
          <w:bCs/>
        </w:rPr>
        <w:t>3</w:t>
      </w:r>
      <w:r w:rsidRPr="00487835">
        <w:rPr>
          <w:b/>
          <w:bCs/>
        </w:rPr>
        <w:t>:</w:t>
      </w:r>
      <w:r>
        <w:t xml:space="preserve"> In temporal domain case A measurement prediction</w:t>
      </w:r>
      <w:r w:rsidRPr="00487835">
        <w:t xml:space="preserve"> optimiz</w:t>
      </w:r>
      <w:r>
        <w:t>ing, e.g.,</w:t>
      </w:r>
      <w:r w:rsidRPr="00487835">
        <w:t xml:space="preserve"> early handover preparation decisions</w:t>
      </w:r>
      <w:r>
        <w:t>, the</w:t>
      </w:r>
      <w:r w:rsidRPr="00487835">
        <w:t xml:space="preserve"> required accuracy may be </w:t>
      </w:r>
      <w:r>
        <w:t>relaxed.</w:t>
      </w:r>
    </w:p>
    <w:p w14:paraId="08ED93D0" w14:textId="77777777" w:rsidR="001F034E" w:rsidRDefault="001F034E" w:rsidP="001F034E">
      <w:r w:rsidRPr="00435592">
        <w:rPr>
          <w:b/>
          <w:bCs/>
        </w:rPr>
        <w:t xml:space="preserve">Observation </w:t>
      </w:r>
      <w:r>
        <w:rPr>
          <w:b/>
          <w:bCs/>
        </w:rPr>
        <w:t>4</w:t>
      </w:r>
      <w:r w:rsidRPr="00435592">
        <w:rPr>
          <w:b/>
          <w:bCs/>
        </w:rPr>
        <w:t>:</w:t>
      </w:r>
      <w:r>
        <w:t xml:space="preserve"> </w:t>
      </w:r>
      <w:r>
        <w:rPr>
          <w:lang w:eastAsia="da-DK"/>
        </w:rPr>
        <w:t>The predictions</w:t>
      </w:r>
      <w:r w:rsidRPr="00487835">
        <w:rPr>
          <w:lang w:eastAsia="da-DK"/>
        </w:rPr>
        <w:t xml:space="preserve"> may be accurate enough for the reporting condition evaluation</w:t>
      </w:r>
      <w:r>
        <w:rPr>
          <w:lang w:eastAsia="da-DK"/>
        </w:rPr>
        <w:t xml:space="preserve"> only in some parts of the</w:t>
      </w:r>
      <w:r w:rsidRPr="00487835">
        <w:rPr>
          <w:lang w:eastAsia="da-DK"/>
        </w:rPr>
        <w:t xml:space="preserve"> PW</w:t>
      </w:r>
      <w:r>
        <w:rPr>
          <w:lang w:eastAsia="da-DK"/>
        </w:rPr>
        <w:t>.</w:t>
      </w:r>
    </w:p>
    <w:p w14:paraId="2F239957" w14:textId="77777777" w:rsidR="001F034E" w:rsidRPr="00F246A6" w:rsidRDefault="001F034E" w:rsidP="001F034E">
      <w:pPr>
        <w:rPr>
          <w:b/>
          <w:bCs/>
        </w:rPr>
      </w:pPr>
      <w:r w:rsidRPr="00F246A6">
        <w:rPr>
          <w:b/>
          <w:bCs/>
        </w:rPr>
        <w:t xml:space="preserve">Observation </w:t>
      </w:r>
      <w:r>
        <w:rPr>
          <w:b/>
          <w:bCs/>
        </w:rPr>
        <w:t>5</w:t>
      </w:r>
      <w:r w:rsidRPr="00F246A6">
        <w:rPr>
          <w:b/>
          <w:bCs/>
        </w:rPr>
        <w:t xml:space="preserve">: </w:t>
      </w:r>
      <w:r w:rsidRPr="00EE410A">
        <w:t>The UE needs to identify</w:t>
      </w:r>
      <w:r>
        <w:t>,</w:t>
      </w:r>
      <w:r w:rsidRPr="00EE410A">
        <w:t xml:space="preserve"> in the prediction report</w:t>
      </w:r>
      <w:r>
        <w:t>, the type of event and the metadata associated with it.</w:t>
      </w:r>
    </w:p>
    <w:p w14:paraId="02CAA338" w14:textId="77777777" w:rsidR="001F034E" w:rsidRPr="004C6C34" w:rsidRDefault="001F034E" w:rsidP="001F034E">
      <w:r w:rsidRPr="001F2041">
        <w:rPr>
          <w:b/>
          <w:bCs/>
        </w:rPr>
        <w:t xml:space="preserve">Observation </w:t>
      </w:r>
      <w:r>
        <w:rPr>
          <w:b/>
          <w:bCs/>
        </w:rPr>
        <w:t>6</w:t>
      </w:r>
      <w:r w:rsidRPr="001F2041">
        <w:rPr>
          <w:b/>
          <w:bCs/>
        </w:rPr>
        <w:t>:</w:t>
      </w:r>
      <w:r>
        <w:t xml:space="preserve"> ML models learn better when at least some UEs have relatively similar movement patterns, e.g. walking along a street lane.</w:t>
      </w:r>
    </w:p>
    <w:p w14:paraId="7B5D43B6" w14:textId="77777777" w:rsidR="001F034E" w:rsidRDefault="001F034E" w:rsidP="001F034E">
      <w:r w:rsidRPr="002E4CA9">
        <w:rPr>
          <w:b/>
          <w:bCs/>
        </w:rPr>
        <w:lastRenderedPageBreak/>
        <w:t xml:space="preserve">Observation </w:t>
      </w:r>
      <w:r>
        <w:rPr>
          <w:b/>
          <w:bCs/>
        </w:rPr>
        <w:t>7</w:t>
      </w:r>
      <w:r w:rsidRPr="002E4CA9">
        <w:rPr>
          <w:b/>
          <w:bCs/>
        </w:rPr>
        <w:t>:</w:t>
      </w:r>
      <w:r>
        <w:t xml:space="preserve"> NW-sided models have access to more training data and to cell- or site-specific information.</w:t>
      </w:r>
    </w:p>
    <w:p w14:paraId="69183F3F" w14:textId="77777777" w:rsidR="001F034E" w:rsidRDefault="001F034E" w:rsidP="001F034E">
      <w:r w:rsidRPr="005253C8">
        <w:rPr>
          <w:b/>
          <w:bCs/>
        </w:rPr>
        <w:t xml:space="preserve">Observation </w:t>
      </w:r>
      <w:r>
        <w:rPr>
          <w:b/>
          <w:bCs/>
        </w:rPr>
        <w:t>8</w:t>
      </w:r>
      <w:r w:rsidRPr="005253C8">
        <w:rPr>
          <w:b/>
          <w:bCs/>
        </w:rPr>
        <w:t>:</w:t>
      </w:r>
      <w:r>
        <w:t xml:space="preserve"> A false positive measurement event prediction results in the network wasting the preparations it has done in anticipation of the event.</w:t>
      </w:r>
    </w:p>
    <w:p w14:paraId="623F3691" w14:textId="77777777" w:rsidR="001F034E" w:rsidRDefault="001F034E" w:rsidP="001F034E">
      <w:r w:rsidRPr="005253C8">
        <w:rPr>
          <w:b/>
          <w:bCs/>
        </w:rPr>
        <w:t xml:space="preserve">Observation </w:t>
      </w:r>
      <w:r>
        <w:rPr>
          <w:b/>
          <w:bCs/>
        </w:rPr>
        <w:t>9</w:t>
      </w:r>
      <w:r w:rsidRPr="005253C8">
        <w:rPr>
          <w:b/>
          <w:bCs/>
        </w:rPr>
        <w:t>:</w:t>
      </w:r>
      <w:r>
        <w:t xml:space="preserve"> In case of a false negative measurement event prediction, the UE/NW can fall back to the legacy behaviour of measurement reporting, which poses virtually no concern. </w:t>
      </w:r>
    </w:p>
    <w:p w14:paraId="2E1D3AFC" w14:textId="77777777" w:rsidR="001F034E" w:rsidRDefault="001F034E" w:rsidP="001F034E">
      <w:r w:rsidRPr="047225FD">
        <w:rPr>
          <w:b/>
          <w:bCs/>
        </w:rPr>
        <w:t xml:space="preserve">Observation </w:t>
      </w:r>
      <w:r>
        <w:rPr>
          <w:b/>
          <w:bCs/>
        </w:rPr>
        <w:t>10</w:t>
      </w:r>
      <w:r w:rsidRPr="047225FD">
        <w:rPr>
          <w:b/>
          <w:bCs/>
        </w:rPr>
        <w:t>:</w:t>
      </w:r>
      <w:r>
        <w:t xml:space="preserve"> In measurement event prediction, false positives have a higher cost than false negatives.</w:t>
      </w:r>
    </w:p>
    <w:p w14:paraId="3D2E8E6A" w14:textId="77777777" w:rsidR="001F034E" w:rsidRDefault="001F034E" w:rsidP="008B549E">
      <w:pPr>
        <w:rPr>
          <w:bCs/>
        </w:rPr>
      </w:pPr>
    </w:p>
    <w:p w14:paraId="6FF43D0F" w14:textId="77777777" w:rsidR="008B549E" w:rsidRPr="004F4540" w:rsidRDefault="008B549E" w:rsidP="008B549E">
      <w:pPr>
        <w:rPr>
          <w:bCs/>
        </w:rPr>
      </w:pPr>
      <w:r>
        <w:rPr>
          <w:bCs/>
        </w:rPr>
        <w:t>And proposed the following:</w:t>
      </w:r>
    </w:p>
    <w:p w14:paraId="53E2EE7C" w14:textId="77777777" w:rsidR="001F034E" w:rsidRDefault="001F034E" w:rsidP="001F034E">
      <w:r w:rsidRPr="00435592">
        <w:rPr>
          <w:b/>
          <w:bCs/>
        </w:rPr>
        <w:t xml:space="preserve">Proposal </w:t>
      </w:r>
      <w:r>
        <w:rPr>
          <w:b/>
          <w:bCs/>
        </w:rPr>
        <w:t>1</w:t>
      </w:r>
      <w:r w:rsidRPr="00435592">
        <w:rPr>
          <w:b/>
          <w:bCs/>
        </w:rPr>
        <w:t>:</w:t>
      </w:r>
      <w:r>
        <w:t xml:space="preserve"> RAN2 to specify the prediction reporting criteria configuration in the WI phase, including how the expected accuracy of the predictions should be considered.</w:t>
      </w:r>
    </w:p>
    <w:p w14:paraId="5E7CCF61" w14:textId="77777777" w:rsidR="001F034E" w:rsidRDefault="001F034E" w:rsidP="001F034E">
      <w:r w:rsidRPr="00F246A6">
        <w:rPr>
          <w:b/>
          <w:bCs/>
        </w:rPr>
        <w:t xml:space="preserve">Proposal </w:t>
      </w:r>
      <w:r>
        <w:rPr>
          <w:b/>
          <w:bCs/>
        </w:rPr>
        <w:t>2</w:t>
      </w:r>
      <w:r w:rsidRPr="00F246A6">
        <w:rPr>
          <w:b/>
          <w:bCs/>
        </w:rPr>
        <w:t>:</w:t>
      </w:r>
      <w:r>
        <w:rPr>
          <w:b/>
          <w:bCs/>
        </w:rPr>
        <w:t xml:space="preserve"> </w:t>
      </w:r>
      <w:r w:rsidRPr="004C6C34">
        <w:t>RAN2</w:t>
      </w:r>
      <w:r>
        <w:t xml:space="preserve"> to specify how to identify the type of event and its metadata in each prediction report.</w:t>
      </w:r>
    </w:p>
    <w:p w14:paraId="26CCBE83" w14:textId="77777777" w:rsidR="001F034E" w:rsidRPr="00E528A7" w:rsidRDefault="001F034E" w:rsidP="001F034E">
      <w:r w:rsidRPr="002E4CA9">
        <w:rPr>
          <w:b/>
          <w:bCs/>
        </w:rPr>
        <w:t xml:space="preserve">Proposal </w:t>
      </w:r>
      <w:r>
        <w:rPr>
          <w:b/>
          <w:bCs/>
        </w:rPr>
        <w:t>3</w:t>
      </w:r>
      <w:r w:rsidRPr="002E4CA9">
        <w:rPr>
          <w:b/>
          <w:bCs/>
        </w:rPr>
        <w:t>:</w:t>
      </w:r>
      <w:r>
        <w:t xml:space="preserve"> Discuss specification impact on network assistance for UE-sided models with cell- or site-specific information.</w:t>
      </w:r>
    </w:p>
    <w:p w14:paraId="52EFE568" w14:textId="77777777" w:rsidR="001F034E" w:rsidRDefault="001F034E" w:rsidP="001F034E">
      <w:r w:rsidRPr="00135ADC">
        <w:rPr>
          <w:b/>
          <w:bCs/>
        </w:rPr>
        <w:t xml:space="preserve">Proposal </w:t>
      </w:r>
      <w:r>
        <w:rPr>
          <w:b/>
          <w:bCs/>
        </w:rPr>
        <w:t>4</w:t>
      </w:r>
      <w:r w:rsidRPr="00135ADC">
        <w:rPr>
          <w:b/>
          <w:bCs/>
        </w:rPr>
        <w:t>:</w:t>
      </w:r>
      <w:r>
        <w:t xml:space="preserve"> RAN2 to consider two options to perform monitoring for measurement event prediction: (1) The UE signals its own monitoring KPIs to the network; (2) The UE signals the predictions, and their ground truth labels, and the network does the monitoring as part of its implementation.</w:t>
      </w:r>
    </w:p>
    <w:p w14:paraId="77076597" w14:textId="77777777" w:rsidR="001F034E" w:rsidRPr="00E528A7" w:rsidRDefault="001F034E" w:rsidP="001F034E">
      <w:r w:rsidRPr="00E67522">
        <w:rPr>
          <w:b/>
          <w:bCs/>
        </w:rPr>
        <w:t xml:space="preserve">Proposal </w:t>
      </w:r>
      <w:r>
        <w:rPr>
          <w:b/>
          <w:bCs/>
        </w:rPr>
        <w:t>5</w:t>
      </w:r>
      <w:r w:rsidRPr="00E67522">
        <w:rPr>
          <w:b/>
          <w:bCs/>
        </w:rPr>
        <w:t>:</w:t>
      </w:r>
      <w:r>
        <w:t xml:space="preserve"> Use the precision or false positive rate as a UE-sided monitoring KPI in measurement event prediction.</w:t>
      </w:r>
    </w:p>
    <w:p w14:paraId="3062CDE7" w14:textId="77777777" w:rsidR="008B549E" w:rsidRPr="006E13D1" w:rsidRDefault="008B549E" w:rsidP="008B549E"/>
    <w:p w14:paraId="5981D961" w14:textId="77777777" w:rsidR="008B549E" w:rsidRDefault="008B549E" w:rsidP="008B549E"/>
    <w:p w14:paraId="657D3C7F" w14:textId="77777777" w:rsidR="008B549E" w:rsidRPr="00CD4C7B" w:rsidRDefault="008B549E" w:rsidP="008B549E"/>
    <w:p w14:paraId="1086C14F" w14:textId="77777777" w:rsidR="008B549E" w:rsidRPr="00A209D6" w:rsidRDefault="008B549E" w:rsidP="008B549E"/>
    <w:p w14:paraId="35F222F4" w14:textId="77777777" w:rsidR="00080512" w:rsidRPr="005A5862" w:rsidRDefault="00080512" w:rsidP="008B549E">
      <w:pPr>
        <w:pStyle w:val="CRCoverPage"/>
        <w:tabs>
          <w:tab w:val="left" w:pos="1985"/>
        </w:tabs>
      </w:pPr>
    </w:p>
    <w:sectPr w:rsidR="00080512" w:rsidRPr="005A586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8BA4F" w14:textId="77777777" w:rsidR="00474FA3" w:rsidRDefault="00474FA3">
      <w:r>
        <w:separator/>
      </w:r>
    </w:p>
  </w:endnote>
  <w:endnote w:type="continuationSeparator" w:id="0">
    <w:p w14:paraId="0E3AAC9E" w14:textId="77777777" w:rsidR="00474FA3" w:rsidRDefault="00474FA3">
      <w:r>
        <w:continuationSeparator/>
      </w:r>
    </w:p>
  </w:endnote>
  <w:endnote w:type="continuationNotice" w:id="1">
    <w:p w14:paraId="2EE04CFB" w14:textId="77777777" w:rsidR="00474FA3" w:rsidRDefault="00474F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5BDEB" w14:textId="77777777" w:rsidR="00474FA3" w:rsidRDefault="00474FA3">
      <w:r>
        <w:separator/>
      </w:r>
    </w:p>
  </w:footnote>
  <w:footnote w:type="continuationSeparator" w:id="0">
    <w:p w14:paraId="1FAA50DF" w14:textId="77777777" w:rsidR="00474FA3" w:rsidRDefault="00474FA3">
      <w:r>
        <w:continuationSeparator/>
      </w:r>
    </w:p>
  </w:footnote>
  <w:footnote w:type="continuationNotice" w:id="1">
    <w:p w14:paraId="2172D12A" w14:textId="77777777" w:rsidR="00474FA3" w:rsidRDefault="00474F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8A61CF"/>
    <w:multiLevelType w:val="multilevel"/>
    <w:tmpl w:val="72F244B0"/>
    <w:lvl w:ilvl="0">
      <w:start w:val="1"/>
      <w:numFmt w:val="decimal"/>
      <w:lvlText w:val="%1."/>
      <w:lvlJc w:val="left"/>
      <w:pPr>
        <w:ind w:left="360" w:hanging="36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0BC24145"/>
    <w:multiLevelType w:val="hybridMultilevel"/>
    <w:tmpl w:val="78E8F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C13179"/>
    <w:multiLevelType w:val="hybridMultilevel"/>
    <w:tmpl w:val="5B74DFAA"/>
    <w:lvl w:ilvl="0" w:tplc="8F763B5A">
      <w:start w:val="1"/>
      <w:numFmt w:val="decimal"/>
      <w:lvlText w:val="%1"/>
      <w:lvlJc w:val="left"/>
      <w:pPr>
        <w:ind w:left="970" w:hanging="360"/>
      </w:pPr>
      <w:rPr>
        <w:rFonts w:hint="default"/>
      </w:rPr>
    </w:lvl>
    <w:lvl w:ilvl="1" w:tplc="04090019" w:tentative="1">
      <w:start w:val="1"/>
      <w:numFmt w:val="lowerLetter"/>
      <w:lvlText w:val="%2."/>
      <w:lvlJc w:val="left"/>
      <w:pPr>
        <w:ind w:left="1690" w:hanging="360"/>
      </w:pPr>
    </w:lvl>
    <w:lvl w:ilvl="2" w:tplc="0409001B" w:tentative="1">
      <w:start w:val="1"/>
      <w:numFmt w:val="lowerRoman"/>
      <w:lvlText w:val="%3."/>
      <w:lvlJc w:val="right"/>
      <w:pPr>
        <w:ind w:left="2410" w:hanging="180"/>
      </w:pPr>
    </w:lvl>
    <w:lvl w:ilvl="3" w:tplc="0409000F" w:tentative="1">
      <w:start w:val="1"/>
      <w:numFmt w:val="decimal"/>
      <w:lvlText w:val="%4."/>
      <w:lvlJc w:val="left"/>
      <w:pPr>
        <w:ind w:left="3130" w:hanging="360"/>
      </w:pPr>
    </w:lvl>
    <w:lvl w:ilvl="4" w:tplc="04090019" w:tentative="1">
      <w:start w:val="1"/>
      <w:numFmt w:val="lowerLetter"/>
      <w:lvlText w:val="%5."/>
      <w:lvlJc w:val="left"/>
      <w:pPr>
        <w:ind w:left="3850" w:hanging="360"/>
      </w:pPr>
    </w:lvl>
    <w:lvl w:ilvl="5" w:tplc="0409001B" w:tentative="1">
      <w:start w:val="1"/>
      <w:numFmt w:val="lowerRoman"/>
      <w:lvlText w:val="%6."/>
      <w:lvlJc w:val="right"/>
      <w:pPr>
        <w:ind w:left="4570" w:hanging="180"/>
      </w:pPr>
    </w:lvl>
    <w:lvl w:ilvl="6" w:tplc="0409000F" w:tentative="1">
      <w:start w:val="1"/>
      <w:numFmt w:val="decimal"/>
      <w:lvlText w:val="%7."/>
      <w:lvlJc w:val="left"/>
      <w:pPr>
        <w:ind w:left="5290" w:hanging="360"/>
      </w:pPr>
    </w:lvl>
    <w:lvl w:ilvl="7" w:tplc="04090019" w:tentative="1">
      <w:start w:val="1"/>
      <w:numFmt w:val="lowerLetter"/>
      <w:lvlText w:val="%8."/>
      <w:lvlJc w:val="left"/>
      <w:pPr>
        <w:ind w:left="6010" w:hanging="360"/>
      </w:pPr>
    </w:lvl>
    <w:lvl w:ilvl="8" w:tplc="0409001B" w:tentative="1">
      <w:start w:val="1"/>
      <w:numFmt w:val="lowerRoman"/>
      <w:lvlText w:val="%9."/>
      <w:lvlJc w:val="right"/>
      <w:pPr>
        <w:ind w:left="6730" w:hanging="180"/>
      </w:p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341197"/>
    <w:multiLevelType w:val="hybridMultilevel"/>
    <w:tmpl w:val="C0283BB0"/>
    <w:lvl w:ilvl="0" w:tplc="FFFFFFFF">
      <w:start w:val="1"/>
      <w:numFmt w:val="decimal"/>
      <w:lvlText w:val="%1"/>
      <w:lvlJc w:val="left"/>
      <w:pPr>
        <w:ind w:left="1619" w:hanging="360"/>
      </w:pPr>
      <w:rPr>
        <w:rFonts w:hint="default"/>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4A4D22EA"/>
    <w:multiLevelType w:val="hybridMultilevel"/>
    <w:tmpl w:val="C7FCC216"/>
    <w:lvl w:ilvl="0" w:tplc="AF144574">
      <w:start w:val="1"/>
      <w:numFmt w:val="decimal"/>
      <w:lvlText w:val="%1."/>
      <w:lvlJc w:val="left"/>
      <w:pPr>
        <w:ind w:left="970" w:hanging="360"/>
      </w:pPr>
      <w:rPr>
        <w:rFonts w:hint="default"/>
      </w:rPr>
    </w:lvl>
    <w:lvl w:ilvl="1" w:tplc="04090019" w:tentative="1">
      <w:start w:val="1"/>
      <w:numFmt w:val="lowerLetter"/>
      <w:lvlText w:val="%2."/>
      <w:lvlJc w:val="left"/>
      <w:pPr>
        <w:ind w:left="1690" w:hanging="360"/>
      </w:pPr>
    </w:lvl>
    <w:lvl w:ilvl="2" w:tplc="0409001B" w:tentative="1">
      <w:start w:val="1"/>
      <w:numFmt w:val="lowerRoman"/>
      <w:lvlText w:val="%3."/>
      <w:lvlJc w:val="right"/>
      <w:pPr>
        <w:ind w:left="2410" w:hanging="180"/>
      </w:pPr>
    </w:lvl>
    <w:lvl w:ilvl="3" w:tplc="0409000F" w:tentative="1">
      <w:start w:val="1"/>
      <w:numFmt w:val="decimal"/>
      <w:lvlText w:val="%4."/>
      <w:lvlJc w:val="left"/>
      <w:pPr>
        <w:ind w:left="3130" w:hanging="360"/>
      </w:pPr>
    </w:lvl>
    <w:lvl w:ilvl="4" w:tplc="04090019" w:tentative="1">
      <w:start w:val="1"/>
      <w:numFmt w:val="lowerLetter"/>
      <w:lvlText w:val="%5."/>
      <w:lvlJc w:val="left"/>
      <w:pPr>
        <w:ind w:left="3850" w:hanging="360"/>
      </w:pPr>
    </w:lvl>
    <w:lvl w:ilvl="5" w:tplc="0409001B" w:tentative="1">
      <w:start w:val="1"/>
      <w:numFmt w:val="lowerRoman"/>
      <w:lvlText w:val="%6."/>
      <w:lvlJc w:val="right"/>
      <w:pPr>
        <w:ind w:left="4570" w:hanging="180"/>
      </w:pPr>
    </w:lvl>
    <w:lvl w:ilvl="6" w:tplc="0409000F" w:tentative="1">
      <w:start w:val="1"/>
      <w:numFmt w:val="decimal"/>
      <w:lvlText w:val="%7."/>
      <w:lvlJc w:val="left"/>
      <w:pPr>
        <w:ind w:left="5290" w:hanging="360"/>
      </w:pPr>
    </w:lvl>
    <w:lvl w:ilvl="7" w:tplc="04090019" w:tentative="1">
      <w:start w:val="1"/>
      <w:numFmt w:val="lowerLetter"/>
      <w:lvlText w:val="%8."/>
      <w:lvlJc w:val="left"/>
      <w:pPr>
        <w:ind w:left="6010" w:hanging="360"/>
      </w:pPr>
    </w:lvl>
    <w:lvl w:ilvl="8" w:tplc="0409001B" w:tentative="1">
      <w:start w:val="1"/>
      <w:numFmt w:val="lowerRoman"/>
      <w:lvlText w:val="%9."/>
      <w:lvlJc w:val="right"/>
      <w:pPr>
        <w:ind w:left="6730" w:hanging="180"/>
      </w:pPr>
    </w:lvl>
  </w:abstractNum>
  <w:abstractNum w:abstractNumId="23"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6" w15:restartNumberingAfterBreak="0">
    <w:nsid w:val="6C3C034E"/>
    <w:multiLevelType w:val="hybridMultilevel"/>
    <w:tmpl w:val="B5A286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7"/>
  </w:num>
  <w:num w:numId="5" w16cid:durableId="630793192">
    <w:abstractNumId w:val="15"/>
  </w:num>
  <w:num w:numId="6" w16cid:durableId="1154301696">
    <w:abstractNumId w:val="20"/>
  </w:num>
  <w:num w:numId="7" w16cid:durableId="1489399165">
    <w:abstractNumId w:val="21"/>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187672587">
    <w:abstractNumId w:val="18"/>
  </w:num>
  <w:num w:numId="19" w16cid:durableId="1141117490">
    <w:abstractNumId w:val="19"/>
  </w:num>
  <w:num w:numId="20" w16cid:durableId="1887910435">
    <w:abstractNumId w:val="16"/>
  </w:num>
  <w:num w:numId="21" w16cid:durableId="1191600748">
    <w:abstractNumId w:val="24"/>
  </w:num>
  <w:num w:numId="22" w16cid:durableId="2060129097">
    <w:abstractNumId w:val="27"/>
  </w:num>
  <w:num w:numId="23" w16cid:durableId="463885680">
    <w:abstractNumId w:val="23"/>
  </w:num>
  <w:num w:numId="24" w16cid:durableId="158618464">
    <w:abstractNumId w:val="25"/>
  </w:num>
  <w:num w:numId="25" w16cid:durableId="1280724794">
    <w:abstractNumId w:val="12"/>
  </w:num>
  <w:num w:numId="26" w16cid:durableId="739442796">
    <w:abstractNumId w:val="26"/>
  </w:num>
  <w:num w:numId="27" w16cid:durableId="1392996844">
    <w:abstractNumId w:val="13"/>
  </w:num>
  <w:num w:numId="28" w16cid:durableId="1215317545">
    <w:abstractNumId w:val="22"/>
  </w:num>
  <w:num w:numId="29" w16cid:durableId="16376791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742"/>
    <w:rsid w:val="00006C10"/>
    <w:rsid w:val="0000717A"/>
    <w:rsid w:val="00007E98"/>
    <w:rsid w:val="00010F35"/>
    <w:rsid w:val="00012281"/>
    <w:rsid w:val="000145A1"/>
    <w:rsid w:val="00016557"/>
    <w:rsid w:val="000213F2"/>
    <w:rsid w:val="00023C40"/>
    <w:rsid w:val="0002507D"/>
    <w:rsid w:val="0003201E"/>
    <w:rsid w:val="00033397"/>
    <w:rsid w:val="00040095"/>
    <w:rsid w:val="000418DD"/>
    <w:rsid w:val="00051534"/>
    <w:rsid w:val="00054E74"/>
    <w:rsid w:val="00065268"/>
    <w:rsid w:val="0006602F"/>
    <w:rsid w:val="00066FE6"/>
    <w:rsid w:val="00073C9C"/>
    <w:rsid w:val="00074BB6"/>
    <w:rsid w:val="00075BAB"/>
    <w:rsid w:val="00076412"/>
    <w:rsid w:val="00080512"/>
    <w:rsid w:val="00080E26"/>
    <w:rsid w:val="000822CA"/>
    <w:rsid w:val="00084F43"/>
    <w:rsid w:val="000863CE"/>
    <w:rsid w:val="00090468"/>
    <w:rsid w:val="00092B59"/>
    <w:rsid w:val="00093D93"/>
    <w:rsid w:val="00094394"/>
    <w:rsid w:val="00094568"/>
    <w:rsid w:val="00095DB4"/>
    <w:rsid w:val="000A65FB"/>
    <w:rsid w:val="000B01D4"/>
    <w:rsid w:val="000B6A18"/>
    <w:rsid w:val="000B7BCF"/>
    <w:rsid w:val="000C3D15"/>
    <w:rsid w:val="000C522B"/>
    <w:rsid w:val="000D31F8"/>
    <w:rsid w:val="000D3DFC"/>
    <w:rsid w:val="000D58AB"/>
    <w:rsid w:val="000D7B7D"/>
    <w:rsid w:val="000E267C"/>
    <w:rsid w:val="000E45E5"/>
    <w:rsid w:val="000E7616"/>
    <w:rsid w:val="000F6ECD"/>
    <w:rsid w:val="00104628"/>
    <w:rsid w:val="001077AB"/>
    <w:rsid w:val="0011046F"/>
    <w:rsid w:val="00111609"/>
    <w:rsid w:val="00112B43"/>
    <w:rsid w:val="00112F1A"/>
    <w:rsid w:val="00114BE5"/>
    <w:rsid w:val="00125351"/>
    <w:rsid w:val="00125B4B"/>
    <w:rsid w:val="0012610D"/>
    <w:rsid w:val="00127863"/>
    <w:rsid w:val="001325FE"/>
    <w:rsid w:val="00134BEA"/>
    <w:rsid w:val="001351BE"/>
    <w:rsid w:val="00135ADC"/>
    <w:rsid w:val="001404C3"/>
    <w:rsid w:val="00143AF1"/>
    <w:rsid w:val="00145075"/>
    <w:rsid w:val="001457EB"/>
    <w:rsid w:val="00147ADD"/>
    <w:rsid w:val="00163620"/>
    <w:rsid w:val="00163A64"/>
    <w:rsid w:val="001668FE"/>
    <w:rsid w:val="001708EE"/>
    <w:rsid w:val="00172FD3"/>
    <w:rsid w:val="001741A0"/>
    <w:rsid w:val="00175257"/>
    <w:rsid w:val="00175CC1"/>
    <w:rsid w:val="00175FA0"/>
    <w:rsid w:val="00176096"/>
    <w:rsid w:val="00176F66"/>
    <w:rsid w:val="0017773B"/>
    <w:rsid w:val="00183423"/>
    <w:rsid w:val="00184AE7"/>
    <w:rsid w:val="00184E67"/>
    <w:rsid w:val="0018542A"/>
    <w:rsid w:val="00185892"/>
    <w:rsid w:val="00185CF6"/>
    <w:rsid w:val="00194CD0"/>
    <w:rsid w:val="001968C4"/>
    <w:rsid w:val="0019703D"/>
    <w:rsid w:val="001A1113"/>
    <w:rsid w:val="001A53DE"/>
    <w:rsid w:val="001B118B"/>
    <w:rsid w:val="001B3ABB"/>
    <w:rsid w:val="001B3BA8"/>
    <w:rsid w:val="001B49C9"/>
    <w:rsid w:val="001C23F4"/>
    <w:rsid w:val="001C2FD0"/>
    <w:rsid w:val="001C46CB"/>
    <w:rsid w:val="001C4F79"/>
    <w:rsid w:val="001D0021"/>
    <w:rsid w:val="001D0C83"/>
    <w:rsid w:val="001E21D8"/>
    <w:rsid w:val="001E3E96"/>
    <w:rsid w:val="001E4982"/>
    <w:rsid w:val="001E69B9"/>
    <w:rsid w:val="001F034E"/>
    <w:rsid w:val="001F168B"/>
    <w:rsid w:val="001F2041"/>
    <w:rsid w:val="001F6026"/>
    <w:rsid w:val="001F7831"/>
    <w:rsid w:val="00204045"/>
    <w:rsid w:val="00206E19"/>
    <w:rsid w:val="0020712B"/>
    <w:rsid w:val="00207F32"/>
    <w:rsid w:val="002170AE"/>
    <w:rsid w:val="0021716B"/>
    <w:rsid w:val="00217467"/>
    <w:rsid w:val="002216BE"/>
    <w:rsid w:val="00221FED"/>
    <w:rsid w:val="0022606D"/>
    <w:rsid w:val="00231728"/>
    <w:rsid w:val="00234241"/>
    <w:rsid w:val="00234690"/>
    <w:rsid w:val="00237736"/>
    <w:rsid w:val="0023774E"/>
    <w:rsid w:val="0024019E"/>
    <w:rsid w:val="00241A62"/>
    <w:rsid w:val="0024472B"/>
    <w:rsid w:val="00244A05"/>
    <w:rsid w:val="00244BD3"/>
    <w:rsid w:val="00244DCB"/>
    <w:rsid w:val="00250404"/>
    <w:rsid w:val="00252134"/>
    <w:rsid w:val="00256B74"/>
    <w:rsid w:val="002610D8"/>
    <w:rsid w:val="00273E0D"/>
    <w:rsid w:val="002747EC"/>
    <w:rsid w:val="002854E5"/>
    <w:rsid w:val="002855BF"/>
    <w:rsid w:val="00287A48"/>
    <w:rsid w:val="00290A7C"/>
    <w:rsid w:val="00292545"/>
    <w:rsid w:val="002933FA"/>
    <w:rsid w:val="00294C95"/>
    <w:rsid w:val="00295367"/>
    <w:rsid w:val="00296B6E"/>
    <w:rsid w:val="00296E22"/>
    <w:rsid w:val="002A13B6"/>
    <w:rsid w:val="002A6848"/>
    <w:rsid w:val="002B2988"/>
    <w:rsid w:val="002B7F42"/>
    <w:rsid w:val="002C0762"/>
    <w:rsid w:val="002C0E2A"/>
    <w:rsid w:val="002C1115"/>
    <w:rsid w:val="002C72EF"/>
    <w:rsid w:val="002D21AC"/>
    <w:rsid w:val="002D55F5"/>
    <w:rsid w:val="002E4CA9"/>
    <w:rsid w:val="002F0D22"/>
    <w:rsid w:val="0030315F"/>
    <w:rsid w:val="0030468B"/>
    <w:rsid w:val="00305D6B"/>
    <w:rsid w:val="003117E8"/>
    <w:rsid w:val="00311B17"/>
    <w:rsid w:val="00315FA8"/>
    <w:rsid w:val="003172DC"/>
    <w:rsid w:val="003200A2"/>
    <w:rsid w:val="0032511E"/>
    <w:rsid w:val="00325AE3"/>
    <w:rsid w:val="00325E0B"/>
    <w:rsid w:val="00326069"/>
    <w:rsid w:val="00326B9B"/>
    <w:rsid w:val="00341D50"/>
    <w:rsid w:val="00345021"/>
    <w:rsid w:val="0035190C"/>
    <w:rsid w:val="00352E5B"/>
    <w:rsid w:val="003532D6"/>
    <w:rsid w:val="0035462D"/>
    <w:rsid w:val="00354E0E"/>
    <w:rsid w:val="00355A85"/>
    <w:rsid w:val="0036459E"/>
    <w:rsid w:val="00364B41"/>
    <w:rsid w:val="003653FF"/>
    <w:rsid w:val="00365EED"/>
    <w:rsid w:val="00367052"/>
    <w:rsid w:val="003717B0"/>
    <w:rsid w:val="00372DF8"/>
    <w:rsid w:val="00377E64"/>
    <w:rsid w:val="00383096"/>
    <w:rsid w:val="00383E42"/>
    <w:rsid w:val="00387B12"/>
    <w:rsid w:val="0039346C"/>
    <w:rsid w:val="0039673D"/>
    <w:rsid w:val="003A41EF"/>
    <w:rsid w:val="003A4ED8"/>
    <w:rsid w:val="003A4F21"/>
    <w:rsid w:val="003A624C"/>
    <w:rsid w:val="003A7597"/>
    <w:rsid w:val="003B11A0"/>
    <w:rsid w:val="003B40AD"/>
    <w:rsid w:val="003B4333"/>
    <w:rsid w:val="003B69DE"/>
    <w:rsid w:val="003B7D2F"/>
    <w:rsid w:val="003C3D6F"/>
    <w:rsid w:val="003C4E37"/>
    <w:rsid w:val="003D0FD0"/>
    <w:rsid w:val="003D6B42"/>
    <w:rsid w:val="003D7543"/>
    <w:rsid w:val="003D7AAB"/>
    <w:rsid w:val="003E02AC"/>
    <w:rsid w:val="003E16BE"/>
    <w:rsid w:val="003E3698"/>
    <w:rsid w:val="003E4F2C"/>
    <w:rsid w:val="003E6D80"/>
    <w:rsid w:val="003F1A03"/>
    <w:rsid w:val="003F3C15"/>
    <w:rsid w:val="003F4E28"/>
    <w:rsid w:val="003F6888"/>
    <w:rsid w:val="003F76B6"/>
    <w:rsid w:val="004006E8"/>
    <w:rsid w:val="00401855"/>
    <w:rsid w:val="0040408D"/>
    <w:rsid w:val="00404E37"/>
    <w:rsid w:val="00416E0E"/>
    <w:rsid w:val="00417044"/>
    <w:rsid w:val="00417320"/>
    <w:rsid w:val="00420136"/>
    <w:rsid w:val="00421447"/>
    <w:rsid w:val="004255CB"/>
    <w:rsid w:val="00426F1F"/>
    <w:rsid w:val="004300F3"/>
    <w:rsid w:val="00441086"/>
    <w:rsid w:val="004413AE"/>
    <w:rsid w:val="00446648"/>
    <w:rsid w:val="00446C3A"/>
    <w:rsid w:val="00451A43"/>
    <w:rsid w:val="00456509"/>
    <w:rsid w:val="0045715A"/>
    <w:rsid w:val="00457837"/>
    <w:rsid w:val="0046181D"/>
    <w:rsid w:val="004633D1"/>
    <w:rsid w:val="00465587"/>
    <w:rsid w:val="00472EAC"/>
    <w:rsid w:val="00474FA3"/>
    <w:rsid w:val="0047617C"/>
    <w:rsid w:val="00477455"/>
    <w:rsid w:val="00483950"/>
    <w:rsid w:val="00484300"/>
    <w:rsid w:val="004874B3"/>
    <w:rsid w:val="00487D0E"/>
    <w:rsid w:val="004903A9"/>
    <w:rsid w:val="00491DD7"/>
    <w:rsid w:val="0049717C"/>
    <w:rsid w:val="004A1F7B"/>
    <w:rsid w:val="004A2839"/>
    <w:rsid w:val="004B391E"/>
    <w:rsid w:val="004B58DA"/>
    <w:rsid w:val="004B6D57"/>
    <w:rsid w:val="004C22DD"/>
    <w:rsid w:val="004C2698"/>
    <w:rsid w:val="004C44D2"/>
    <w:rsid w:val="004C6C34"/>
    <w:rsid w:val="004D3578"/>
    <w:rsid w:val="004D380D"/>
    <w:rsid w:val="004E213A"/>
    <w:rsid w:val="004E2EC9"/>
    <w:rsid w:val="004E4299"/>
    <w:rsid w:val="004E7553"/>
    <w:rsid w:val="004F4540"/>
    <w:rsid w:val="004F5922"/>
    <w:rsid w:val="004F6421"/>
    <w:rsid w:val="004F73A7"/>
    <w:rsid w:val="00500EB8"/>
    <w:rsid w:val="00503171"/>
    <w:rsid w:val="00505D8F"/>
    <w:rsid w:val="00506C28"/>
    <w:rsid w:val="00507DD7"/>
    <w:rsid w:val="00510EB5"/>
    <w:rsid w:val="00514902"/>
    <w:rsid w:val="00514BF5"/>
    <w:rsid w:val="00516E47"/>
    <w:rsid w:val="00523263"/>
    <w:rsid w:val="00523984"/>
    <w:rsid w:val="005253C8"/>
    <w:rsid w:val="00525CE1"/>
    <w:rsid w:val="0053115E"/>
    <w:rsid w:val="005347CD"/>
    <w:rsid w:val="00534DA0"/>
    <w:rsid w:val="00537809"/>
    <w:rsid w:val="00541A65"/>
    <w:rsid w:val="00541EF1"/>
    <w:rsid w:val="005432D9"/>
    <w:rsid w:val="00543911"/>
    <w:rsid w:val="00543E6C"/>
    <w:rsid w:val="00546AB4"/>
    <w:rsid w:val="005510C8"/>
    <w:rsid w:val="00556644"/>
    <w:rsid w:val="0056238A"/>
    <w:rsid w:val="00563284"/>
    <w:rsid w:val="00565087"/>
    <w:rsid w:val="00565372"/>
    <w:rsid w:val="0056573F"/>
    <w:rsid w:val="00571279"/>
    <w:rsid w:val="0057231C"/>
    <w:rsid w:val="00573250"/>
    <w:rsid w:val="00573C91"/>
    <w:rsid w:val="00575FC5"/>
    <w:rsid w:val="00592CD1"/>
    <w:rsid w:val="00595300"/>
    <w:rsid w:val="005A13AB"/>
    <w:rsid w:val="005A49C6"/>
    <w:rsid w:val="005A5862"/>
    <w:rsid w:val="005A6976"/>
    <w:rsid w:val="005B02CE"/>
    <w:rsid w:val="005B1F19"/>
    <w:rsid w:val="005B2976"/>
    <w:rsid w:val="005B4F34"/>
    <w:rsid w:val="005B65DB"/>
    <w:rsid w:val="005B775C"/>
    <w:rsid w:val="005C0E92"/>
    <w:rsid w:val="005C49F2"/>
    <w:rsid w:val="005C6919"/>
    <w:rsid w:val="005C766E"/>
    <w:rsid w:val="005C7CD5"/>
    <w:rsid w:val="005D5373"/>
    <w:rsid w:val="005D583F"/>
    <w:rsid w:val="005D7BEF"/>
    <w:rsid w:val="005E2443"/>
    <w:rsid w:val="005E3519"/>
    <w:rsid w:val="005E4441"/>
    <w:rsid w:val="005E6778"/>
    <w:rsid w:val="005F1193"/>
    <w:rsid w:val="005F30BB"/>
    <w:rsid w:val="005F4B63"/>
    <w:rsid w:val="005F6296"/>
    <w:rsid w:val="005F6E14"/>
    <w:rsid w:val="00603451"/>
    <w:rsid w:val="00604420"/>
    <w:rsid w:val="006074DF"/>
    <w:rsid w:val="00611566"/>
    <w:rsid w:val="006125C0"/>
    <w:rsid w:val="00612720"/>
    <w:rsid w:val="00612837"/>
    <w:rsid w:val="00614779"/>
    <w:rsid w:val="00621C60"/>
    <w:rsid w:val="00625254"/>
    <w:rsid w:val="00632654"/>
    <w:rsid w:val="0063277D"/>
    <w:rsid w:val="00644D78"/>
    <w:rsid w:val="00646D99"/>
    <w:rsid w:val="006479BA"/>
    <w:rsid w:val="00651BC0"/>
    <w:rsid w:val="00652B4E"/>
    <w:rsid w:val="00652DE0"/>
    <w:rsid w:val="00656649"/>
    <w:rsid w:val="00656910"/>
    <w:rsid w:val="006574C0"/>
    <w:rsid w:val="00663D38"/>
    <w:rsid w:val="00664738"/>
    <w:rsid w:val="00670B9D"/>
    <w:rsid w:val="00671367"/>
    <w:rsid w:val="00686C37"/>
    <w:rsid w:val="00687C9D"/>
    <w:rsid w:val="00690ACA"/>
    <w:rsid w:val="0069606B"/>
    <w:rsid w:val="00696660"/>
    <w:rsid w:val="00696821"/>
    <w:rsid w:val="00696A5B"/>
    <w:rsid w:val="006B37B0"/>
    <w:rsid w:val="006B54A5"/>
    <w:rsid w:val="006C3209"/>
    <w:rsid w:val="006C3BB1"/>
    <w:rsid w:val="006C4F3E"/>
    <w:rsid w:val="006C5751"/>
    <w:rsid w:val="006C66D8"/>
    <w:rsid w:val="006D0A98"/>
    <w:rsid w:val="006D1E24"/>
    <w:rsid w:val="006D35DE"/>
    <w:rsid w:val="006D452F"/>
    <w:rsid w:val="006D56DC"/>
    <w:rsid w:val="006E1057"/>
    <w:rsid w:val="006E1417"/>
    <w:rsid w:val="006E651D"/>
    <w:rsid w:val="006E6CD8"/>
    <w:rsid w:val="006F596D"/>
    <w:rsid w:val="006F6A2C"/>
    <w:rsid w:val="007006F4"/>
    <w:rsid w:val="00702B70"/>
    <w:rsid w:val="00702EFC"/>
    <w:rsid w:val="00704C68"/>
    <w:rsid w:val="007069DC"/>
    <w:rsid w:val="00710201"/>
    <w:rsid w:val="00711E5E"/>
    <w:rsid w:val="0071455E"/>
    <w:rsid w:val="007157CC"/>
    <w:rsid w:val="00716ABC"/>
    <w:rsid w:val="0072073A"/>
    <w:rsid w:val="007224A8"/>
    <w:rsid w:val="00722B38"/>
    <w:rsid w:val="00723B23"/>
    <w:rsid w:val="007272C2"/>
    <w:rsid w:val="007309F1"/>
    <w:rsid w:val="00733DDD"/>
    <w:rsid w:val="007342B5"/>
    <w:rsid w:val="00734A5B"/>
    <w:rsid w:val="00734F4B"/>
    <w:rsid w:val="00737BB0"/>
    <w:rsid w:val="00741E12"/>
    <w:rsid w:val="00742CD7"/>
    <w:rsid w:val="00744E76"/>
    <w:rsid w:val="00745F35"/>
    <w:rsid w:val="00746825"/>
    <w:rsid w:val="00747411"/>
    <w:rsid w:val="00747CF4"/>
    <w:rsid w:val="0075261B"/>
    <w:rsid w:val="00753E8D"/>
    <w:rsid w:val="007563B1"/>
    <w:rsid w:val="00757791"/>
    <w:rsid w:val="00757D40"/>
    <w:rsid w:val="007607AE"/>
    <w:rsid w:val="007662B5"/>
    <w:rsid w:val="00766F27"/>
    <w:rsid w:val="00771728"/>
    <w:rsid w:val="00781F0F"/>
    <w:rsid w:val="007847FE"/>
    <w:rsid w:val="0078727C"/>
    <w:rsid w:val="0079049D"/>
    <w:rsid w:val="007904C9"/>
    <w:rsid w:val="00793DC5"/>
    <w:rsid w:val="00796823"/>
    <w:rsid w:val="0079769B"/>
    <w:rsid w:val="007A2E55"/>
    <w:rsid w:val="007A386D"/>
    <w:rsid w:val="007A40A7"/>
    <w:rsid w:val="007A4F86"/>
    <w:rsid w:val="007A71CE"/>
    <w:rsid w:val="007A76E8"/>
    <w:rsid w:val="007B14F9"/>
    <w:rsid w:val="007B1641"/>
    <w:rsid w:val="007B18D8"/>
    <w:rsid w:val="007C095F"/>
    <w:rsid w:val="007C2DD0"/>
    <w:rsid w:val="007C41D7"/>
    <w:rsid w:val="007D1458"/>
    <w:rsid w:val="007E4AE5"/>
    <w:rsid w:val="007E6292"/>
    <w:rsid w:val="007E715F"/>
    <w:rsid w:val="007F1208"/>
    <w:rsid w:val="007F1D4D"/>
    <w:rsid w:val="007F2E08"/>
    <w:rsid w:val="007F4571"/>
    <w:rsid w:val="007F568F"/>
    <w:rsid w:val="007F7C36"/>
    <w:rsid w:val="008024FA"/>
    <w:rsid w:val="008028A4"/>
    <w:rsid w:val="008059E7"/>
    <w:rsid w:val="00813245"/>
    <w:rsid w:val="00813C5B"/>
    <w:rsid w:val="00820CF3"/>
    <w:rsid w:val="00823E5E"/>
    <w:rsid w:val="00826435"/>
    <w:rsid w:val="00831E61"/>
    <w:rsid w:val="00833DE4"/>
    <w:rsid w:val="008345D4"/>
    <w:rsid w:val="00836110"/>
    <w:rsid w:val="00840DE0"/>
    <w:rsid w:val="00841E40"/>
    <w:rsid w:val="00845205"/>
    <w:rsid w:val="008473E8"/>
    <w:rsid w:val="00847CD0"/>
    <w:rsid w:val="00852817"/>
    <w:rsid w:val="00855145"/>
    <w:rsid w:val="008607A8"/>
    <w:rsid w:val="008613BA"/>
    <w:rsid w:val="0086354A"/>
    <w:rsid w:val="00871870"/>
    <w:rsid w:val="00873807"/>
    <w:rsid w:val="0087427A"/>
    <w:rsid w:val="008768CA"/>
    <w:rsid w:val="0087708F"/>
    <w:rsid w:val="00877EF9"/>
    <w:rsid w:val="00880559"/>
    <w:rsid w:val="00881DB4"/>
    <w:rsid w:val="00881E2A"/>
    <w:rsid w:val="008827CC"/>
    <w:rsid w:val="00884CD0"/>
    <w:rsid w:val="008903BA"/>
    <w:rsid w:val="00891210"/>
    <w:rsid w:val="0089480F"/>
    <w:rsid w:val="0089588A"/>
    <w:rsid w:val="008969AB"/>
    <w:rsid w:val="00896C57"/>
    <w:rsid w:val="008A665C"/>
    <w:rsid w:val="008B5306"/>
    <w:rsid w:val="008B549E"/>
    <w:rsid w:val="008B54E8"/>
    <w:rsid w:val="008B76E7"/>
    <w:rsid w:val="008C21AC"/>
    <w:rsid w:val="008C2E2A"/>
    <w:rsid w:val="008C3057"/>
    <w:rsid w:val="008C4BB9"/>
    <w:rsid w:val="008D0C8C"/>
    <w:rsid w:val="008D2E4D"/>
    <w:rsid w:val="008D4D15"/>
    <w:rsid w:val="008D6D57"/>
    <w:rsid w:val="008E0B63"/>
    <w:rsid w:val="008E6784"/>
    <w:rsid w:val="008E7620"/>
    <w:rsid w:val="008F2E73"/>
    <w:rsid w:val="008F396F"/>
    <w:rsid w:val="008F3DCD"/>
    <w:rsid w:val="008F4F04"/>
    <w:rsid w:val="008F6407"/>
    <w:rsid w:val="008F6929"/>
    <w:rsid w:val="009006F6"/>
    <w:rsid w:val="0090271F"/>
    <w:rsid w:val="00902DB9"/>
    <w:rsid w:val="00902E5B"/>
    <w:rsid w:val="0090466A"/>
    <w:rsid w:val="00905E5A"/>
    <w:rsid w:val="00906584"/>
    <w:rsid w:val="009076D6"/>
    <w:rsid w:val="00907F8B"/>
    <w:rsid w:val="00910334"/>
    <w:rsid w:val="00911262"/>
    <w:rsid w:val="00911F55"/>
    <w:rsid w:val="009226EB"/>
    <w:rsid w:val="00922C0C"/>
    <w:rsid w:val="00923655"/>
    <w:rsid w:val="0092435A"/>
    <w:rsid w:val="009248C6"/>
    <w:rsid w:val="009269AE"/>
    <w:rsid w:val="00930466"/>
    <w:rsid w:val="00931C91"/>
    <w:rsid w:val="0093295A"/>
    <w:rsid w:val="009339CB"/>
    <w:rsid w:val="0093494B"/>
    <w:rsid w:val="009349A8"/>
    <w:rsid w:val="00936071"/>
    <w:rsid w:val="009376CD"/>
    <w:rsid w:val="00940212"/>
    <w:rsid w:val="00940619"/>
    <w:rsid w:val="00942EC2"/>
    <w:rsid w:val="00952C69"/>
    <w:rsid w:val="00961B32"/>
    <w:rsid w:val="00962509"/>
    <w:rsid w:val="00962B68"/>
    <w:rsid w:val="00970DB3"/>
    <w:rsid w:val="00974BB0"/>
    <w:rsid w:val="00975BCD"/>
    <w:rsid w:val="0097600F"/>
    <w:rsid w:val="009814EB"/>
    <w:rsid w:val="009818A2"/>
    <w:rsid w:val="00984593"/>
    <w:rsid w:val="009861A5"/>
    <w:rsid w:val="009928A9"/>
    <w:rsid w:val="00997CC4"/>
    <w:rsid w:val="009A0AF3"/>
    <w:rsid w:val="009A1685"/>
    <w:rsid w:val="009A3C31"/>
    <w:rsid w:val="009A67CE"/>
    <w:rsid w:val="009A771E"/>
    <w:rsid w:val="009B07CD"/>
    <w:rsid w:val="009B2EE8"/>
    <w:rsid w:val="009C19E9"/>
    <w:rsid w:val="009C2BC6"/>
    <w:rsid w:val="009C733D"/>
    <w:rsid w:val="009D2318"/>
    <w:rsid w:val="009D4040"/>
    <w:rsid w:val="009D4729"/>
    <w:rsid w:val="009D74A6"/>
    <w:rsid w:val="009E0E87"/>
    <w:rsid w:val="009E4A35"/>
    <w:rsid w:val="009E4E8A"/>
    <w:rsid w:val="009E63A5"/>
    <w:rsid w:val="009E764D"/>
    <w:rsid w:val="009F445D"/>
    <w:rsid w:val="00A01DC6"/>
    <w:rsid w:val="00A10F02"/>
    <w:rsid w:val="00A13362"/>
    <w:rsid w:val="00A17176"/>
    <w:rsid w:val="00A204CA"/>
    <w:rsid w:val="00A209D6"/>
    <w:rsid w:val="00A22738"/>
    <w:rsid w:val="00A24D1C"/>
    <w:rsid w:val="00A25F0B"/>
    <w:rsid w:val="00A320DA"/>
    <w:rsid w:val="00A343C6"/>
    <w:rsid w:val="00A34A38"/>
    <w:rsid w:val="00A36F5F"/>
    <w:rsid w:val="00A374A0"/>
    <w:rsid w:val="00A407B1"/>
    <w:rsid w:val="00A430EC"/>
    <w:rsid w:val="00A46A95"/>
    <w:rsid w:val="00A50B86"/>
    <w:rsid w:val="00A53724"/>
    <w:rsid w:val="00A54B2B"/>
    <w:rsid w:val="00A62FB3"/>
    <w:rsid w:val="00A66FA4"/>
    <w:rsid w:val="00A703B6"/>
    <w:rsid w:val="00A7643C"/>
    <w:rsid w:val="00A773B2"/>
    <w:rsid w:val="00A779D3"/>
    <w:rsid w:val="00A8035E"/>
    <w:rsid w:val="00A82346"/>
    <w:rsid w:val="00A8504F"/>
    <w:rsid w:val="00A857A9"/>
    <w:rsid w:val="00A85D18"/>
    <w:rsid w:val="00A877ED"/>
    <w:rsid w:val="00A911C1"/>
    <w:rsid w:val="00A93708"/>
    <w:rsid w:val="00A946C4"/>
    <w:rsid w:val="00A9671C"/>
    <w:rsid w:val="00AA089E"/>
    <w:rsid w:val="00AA1553"/>
    <w:rsid w:val="00AA4688"/>
    <w:rsid w:val="00AB3911"/>
    <w:rsid w:val="00AB633C"/>
    <w:rsid w:val="00AB7E95"/>
    <w:rsid w:val="00AC281B"/>
    <w:rsid w:val="00AD5735"/>
    <w:rsid w:val="00AD5A8F"/>
    <w:rsid w:val="00AD67A4"/>
    <w:rsid w:val="00AD7E7C"/>
    <w:rsid w:val="00AE293A"/>
    <w:rsid w:val="00AE7AFD"/>
    <w:rsid w:val="00AF2559"/>
    <w:rsid w:val="00AF34B9"/>
    <w:rsid w:val="00AF37F1"/>
    <w:rsid w:val="00AF3EE0"/>
    <w:rsid w:val="00AF485B"/>
    <w:rsid w:val="00B0128E"/>
    <w:rsid w:val="00B05380"/>
    <w:rsid w:val="00B05962"/>
    <w:rsid w:val="00B0605B"/>
    <w:rsid w:val="00B15449"/>
    <w:rsid w:val="00B16C2F"/>
    <w:rsid w:val="00B24244"/>
    <w:rsid w:val="00B25541"/>
    <w:rsid w:val="00B27303"/>
    <w:rsid w:val="00B3157E"/>
    <w:rsid w:val="00B329FC"/>
    <w:rsid w:val="00B36948"/>
    <w:rsid w:val="00B461E8"/>
    <w:rsid w:val="00B47FD1"/>
    <w:rsid w:val="00B50AC6"/>
    <w:rsid w:val="00B516BB"/>
    <w:rsid w:val="00B5751D"/>
    <w:rsid w:val="00B625E2"/>
    <w:rsid w:val="00B669E9"/>
    <w:rsid w:val="00B70C53"/>
    <w:rsid w:val="00B7538C"/>
    <w:rsid w:val="00B81A85"/>
    <w:rsid w:val="00B81E9C"/>
    <w:rsid w:val="00B84DB2"/>
    <w:rsid w:val="00B859D3"/>
    <w:rsid w:val="00B95EA3"/>
    <w:rsid w:val="00BA1490"/>
    <w:rsid w:val="00BA1513"/>
    <w:rsid w:val="00BA230B"/>
    <w:rsid w:val="00BA2AA0"/>
    <w:rsid w:val="00BA2E7B"/>
    <w:rsid w:val="00BA7ED6"/>
    <w:rsid w:val="00BB5B47"/>
    <w:rsid w:val="00BC1FE6"/>
    <w:rsid w:val="00BC3555"/>
    <w:rsid w:val="00BD2BF4"/>
    <w:rsid w:val="00BE5CC1"/>
    <w:rsid w:val="00BF01B7"/>
    <w:rsid w:val="00C011D4"/>
    <w:rsid w:val="00C05559"/>
    <w:rsid w:val="00C07241"/>
    <w:rsid w:val="00C07D11"/>
    <w:rsid w:val="00C12B51"/>
    <w:rsid w:val="00C16D7E"/>
    <w:rsid w:val="00C17C43"/>
    <w:rsid w:val="00C21D0B"/>
    <w:rsid w:val="00C24650"/>
    <w:rsid w:val="00C25465"/>
    <w:rsid w:val="00C25571"/>
    <w:rsid w:val="00C2707B"/>
    <w:rsid w:val="00C31806"/>
    <w:rsid w:val="00C33079"/>
    <w:rsid w:val="00C36A98"/>
    <w:rsid w:val="00C41AC4"/>
    <w:rsid w:val="00C471C2"/>
    <w:rsid w:val="00C55A12"/>
    <w:rsid w:val="00C637D3"/>
    <w:rsid w:val="00C6553E"/>
    <w:rsid w:val="00C7160C"/>
    <w:rsid w:val="00C72ED8"/>
    <w:rsid w:val="00C7342D"/>
    <w:rsid w:val="00C77D25"/>
    <w:rsid w:val="00C816FD"/>
    <w:rsid w:val="00C83A13"/>
    <w:rsid w:val="00C86F10"/>
    <w:rsid w:val="00C874E7"/>
    <w:rsid w:val="00C8785E"/>
    <w:rsid w:val="00C9068C"/>
    <w:rsid w:val="00C92967"/>
    <w:rsid w:val="00C929C6"/>
    <w:rsid w:val="00C93663"/>
    <w:rsid w:val="00CA3D0C"/>
    <w:rsid w:val="00CA4092"/>
    <w:rsid w:val="00CA654B"/>
    <w:rsid w:val="00CA79A9"/>
    <w:rsid w:val="00CA7E04"/>
    <w:rsid w:val="00CB013A"/>
    <w:rsid w:val="00CB183F"/>
    <w:rsid w:val="00CB4BD7"/>
    <w:rsid w:val="00CB72B8"/>
    <w:rsid w:val="00CC1F2D"/>
    <w:rsid w:val="00CC20C8"/>
    <w:rsid w:val="00CD075E"/>
    <w:rsid w:val="00CD0BA8"/>
    <w:rsid w:val="00CD4581"/>
    <w:rsid w:val="00CD4C7B"/>
    <w:rsid w:val="00CD58FE"/>
    <w:rsid w:val="00CE681C"/>
    <w:rsid w:val="00CF3835"/>
    <w:rsid w:val="00D000EE"/>
    <w:rsid w:val="00D0417B"/>
    <w:rsid w:val="00D050AC"/>
    <w:rsid w:val="00D11C26"/>
    <w:rsid w:val="00D13D8C"/>
    <w:rsid w:val="00D20C6B"/>
    <w:rsid w:val="00D271D5"/>
    <w:rsid w:val="00D303E0"/>
    <w:rsid w:val="00D32E56"/>
    <w:rsid w:val="00D33BE3"/>
    <w:rsid w:val="00D35CDE"/>
    <w:rsid w:val="00D3792D"/>
    <w:rsid w:val="00D40196"/>
    <w:rsid w:val="00D411BE"/>
    <w:rsid w:val="00D54334"/>
    <w:rsid w:val="00D54820"/>
    <w:rsid w:val="00D55E47"/>
    <w:rsid w:val="00D5773D"/>
    <w:rsid w:val="00D6114B"/>
    <w:rsid w:val="00D62E19"/>
    <w:rsid w:val="00D6524B"/>
    <w:rsid w:val="00D67CD1"/>
    <w:rsid w:val="00D726F9"/>
    <w:rsid w:val="00D738D6"/>
    <w:rsid w:val="00D73B8B"/>
    <w:rsid w:val="00D7541D"/>
    <w:rsid w:val="00D804C6"/>
    <w:rsid w:val="00D80795"/>
    <w:rsid w:val="00D82E4A"/>
    <w:rsid w:val="00D8442F"/>
    <w:rsid w:val="00D854BE"/>
    <w:rsid w:val="00D87E00"/>
    <w:rsid w:val="00D9134D"/>
    <w:rsid w:val="00D93138"/>
    <w:rsid w:val="00D95760"/>
    <w:rsid w:val="00D96D11"/>
    <w:rsid w:val="00DA1415"/>
    <w:rsid w:val="00DA7A03"/>
    <w:rsid w:val="00DB0DB8"/>
    <w:rsid w:val="00DB1818"/>
    <w:rsid w:val="00DB4A77"/>
    <w:rsid w:val="00DB5F91"/>
    <w:rsid w:val="00DB7130"/>
    <w:rsid w:val="00DB774D"/>
    <w:rsid w:val="00DC2DE7"/>
    <w:rsid w:val="00DC309B"/>
    <w:rsid w:val="00DC4DA2"/>
    <w:rsid w:val="00DC4F73"/>
    <w:rsid w:val="00DC5261"/>
    <w:rsid w:val="00DD38F6"/>
    <w:rsid w:val="00DD700E"/>
    <w:rsid w:val="00DE03C1"/>
    <w:rsid w:val="00DE0B0B"/>
    <w:rsid w:val="00DE1C16"/>
    <w:rsid w:val="00DE25D2"/>
    <w:rsid w:val="00DE29EE"/>
    <w:rsid w:val="00DE2DD2"/>
    <w:rsid w:val="00DE2E67"/>
    <w:rsid w:val="00DE3748"/>
    <w:rsid w:val="00DE57A3"/>
    <w:rsid w:val="00DF3F91"/>
    <w:rsid w:val="00DF48B1"/>
    <w:rsid w:val="00DF7C20"/>
    <w:rsid w:val="00E038FB"/>
    <w:rsid w:val="00E05752"/>
    <w:rsid w:val="00E06FBD"/>
    <w:rsid w:val="00E10994"/>
    <w:rsid w:val="00E10F3B"/>
    <w:rsid w:val="00E145D5"/>
    <w:rsid w:val="00E14645"/>
    <w:rsid w:val="00E15F49"/>
    <w:rsid w:val="00E253F2"/>
    <w:rsid w:val="00E26690"/>
    <w:rsid w:val="00E3081E"/>
    <w:rsid w:val="00E33734"/>
    <w:rsid w:val="00E36F41"/>
    <w:rsid w:val="00E42A2B"/>
    <w:rsid w:val="00E44EE3"/>
    <w:rsid w:val="00E462E6"/>
    <w:rsid w:val="00E46C08"/>
    <w:rsid w:val="00E471CF"/>
    <w:rsid w:val="00E528A7"/>
    <w:rsid w:val="00E62835"/>
    <w:rsid w:val="00E6480E"/>
    <w:rsid w:val="00E67522"/>
    <w:rsid w:val="00E718F8"/>
    <w:rsid w:val="00E73624"/>
    <w:rsid w:val="00E77645"/>
    <w:rsid w:val="00E77FF9"/>
    <w:rsid w:val="00E80A5F"/>
    <w:rsid w:val="00E82B85"/>
    <w:rsid w:val="00E83697"/>
    <w:rsid w:val="00E859B6"/>
    <w:rsid w:val="00E862B3"/>
    <w:rsid w:val="00E923D4"/>
    <w:rsid w:val="00E9275F"/>
    <w:rsid w:val="00E97227"/>
    <w:rsid w:val="00EA62F1"/>
    <w:rsid w:val="00EA66C9"/>
    <w:rsid w:val="00EA6E89"/>
    <w:rsid w:val="00EB5BDA"/>
    <w:rsid w:val="00EB5D32"/>
    <w:rsid w:val="00EC4A25"/>
    <w:rsid w:val="00EC68F1"/>
    <w:rsid w:val="00ED1C74"/>
    <w:rsid w:val="00ED35AC"/>
    <w:rsid w:val="00ED4401"/>
    <w:rsid w:val="00ED5CEB"/>
    <w:rsid w:val="00EE1A66"/>
    <w:rsid w:val="00EE410A"/>
    <w:rsid w:val="00EE46C4"/>
    <w:rsid w:val="00EE51A7"/>
    <w:rsid w:val="00EE51C5"/>
    <w:rsid w:val="00EF0DB4"/>
    <w:rsid w:val="00EF5AF4"/>
    <w:rsid w:val="00EF612C"/>
    <w:rsid w:val="00EF79A5"/>
    <w:rsid w:val="00F025A2"/>
    <w:rsid w:val="00F036E9"/>
    <w:rsid w:val="00F04B41"/>
    <w:rsid w:val="00F04C08"/>
    <w:rsid w:val="00F06781"/>
    <w:rsid w:val="00F07388"/>
    <w:rsid w:val="00F123F9"/>
    <w:rsid w:val="00F16682"/>
    <w:rsid w:val="00F17867"/>
    <w:rsid w:val="00F2026E"/>
    <w:rsid w:val="00F21B2E"/>
    <w:rsid w:val="00F2210A"/>
    <w:rsid w:val="00F2356B"/>
    <w:rsid w:val="00F246A6"/>
    <w:rsid w:val="00F31372"/>
    <w:rsid w:val="00F34383"/>
    <w:rsid w:val="00F3536F"/>
    <w:rsid w:val="00F35AD4"/>
    <w:rsid w:val="00F35BA6"/>
    <w:rsid w:val="00F36EBC"/>
    <w:rsid w:val="00F37743"/>
    <w:rsid w:val="00F37B86"/>
    <w:rsid w:val="00F40C2F"/>
    <w:rsid w:val="00F42493"/>
    <w:rsid w:val="00F54A3D"/>
    <w:rsid w:val="00F54CB0"/>
    <w:rsid w:val="00F579CD"/>
    <w:rsid w:val="00F60774"/>
    <w:rsid w:val="00F61F7F"/>
    <w:rsid w:val="00F653B8"/>
    <w:rsid w:val="00F7019B"/>
    <w:rsid w:val="00F71B89"/>
    <w:rsid w:val="00F72224"/>
    <w:rsid w:val="00F7353C"/>
    <w:rsid w:val="00F76F8F"/>
    <w:rsid w:val="00F805D7"/>
    <w:rsid w:val="00F82ADD"/>
    <w:rsid w:val="00F830B0"/>
    <w:rsid w:val="00F83C1C"/>
    <w:rsid w:val="00F8523C"/>
    <w:rsid w:val="00F87048"/>
    <w:rsid w:val="00F87257"/>
    <w:rsid w:val="00F87EA0"/>
    <w:rsid w:val="00F908E8"/>
    <w:rsid w:val="00F928EF"/>
    <w:rsid w:val="00F9372A"/>
    <w:rsid w:val="00F941DF"/>
    <w:rsid w:val="00FA120D"/>
    <w:rsid w:val="00FA1266"/>
    <w:rsid w:val="00FA4CFA"/>
    <w:rsid w:val="00FA4E7F"/>
    <w:rsid w:val="00FB36FA"/>
    <w:rsid w:val="00FB7AA6"/>
    <w:rsid w:val="00FC1192"/>
    <w:rsid w:val="00FC1439"/>
    <w:rsid w:val="00FD3CBE"/>
    <w:rsid w:val="00FE106D"/>
    <w:rsid w:val="00FE251B"/>
    <w:rsid w:val="00FE2550"/>
    <w:rsid w:val="00FE3CC7"/>
    <w:rsid w:val="00FE5FEA"/>
    <w:rsid w:val="00FF236C"/>
    <w:rsid w:val="01892812"/>
    <w:rsid w:val="047225FD"/>
    <w:rsid w:val="0EBE881F"/>
    <w:rsid w:val="1AC48DBE"/>
    <w:rsid w:val="25B97607"/>
    <w:rsid w:val="32CDCE3E"/>
    <w:rsid w:val="44B80BCE"/>
    <w:rsid w:val="7175FE21"/>
    <w:rsid w:val="72680D0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ACB1C4B-B71C-45B1-A236-47DED9EDA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List Paragraph - Bullets,- Bullets,목록 단락,リスト段落,列出段落,?? ??,?????,????,Lista1,列出段落1,中等深浅网格 1 - 着色 21,numbered,Paragraphe de liste1,Bulletr List Paragraph,Bullet List,FooterText,List Paragraph1,List Paragraph2,List Paragraph21,リスト段落1,P,列表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customStyle="1" w:styleId="Heading2Char">
    <w:name w:val="Heading 2 Char"/>
    <w:basedOn w:val="DefaultParagraphFont"/>
    <w:link w:val="Heading2"/>
    <w:rsid w:val="008B76E7"/>
    <w:rPr>
      <w:rFonts w:ascii="Arial" w:hAnsi="Arial"/>
      <w:sz w:val="32"/>
      <w:lang w:eastAsia="en-US"/>
    </w:rPr>
  </w:style>
  <w:style w:type="paragraph" w:customStyle="1" w:styleId="3GPPNormalText">
    <w:name w:val="3GPP Normal Text"/>
    <w:basedOn w:val="BodyText"/>
    <w:link w:val="3GPPNormalTextChar"/>
    <w:qFormat/>
    <w:rsid w:val="00066FE6"/>
    <w:pPr>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066FE6"/>
    <w:rPr>
      <w:rFonts w:eastAsia="MS Mincho"/>
      <w:sz w:val="22"/>
      <w:szCs w:val="24"/>
      <w:lang w:val="zh-CN" w:eastAsia="zh-CN"/>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numbered Char,Paragraphe de liste1 Char,Bulletr List Paragraph Char,リスト段落1 Char"/>
    <w:link w:val="ListParagraph"/>
    <w:uiPriority w:val="34"/>
    <w:qFormat/>
    <w:locked/>
    <w:rsid w:val="00066FE6"/>
    <w:rPr>
      <w:lang w:eastAsia="en-US"/>
    </w:rPr>
  </w:style>
  <w:style w:type="table" w:styleId="TableGrid">
    <w:name w:val="Table Grid"/>
    <w:aliases w:val="TableGrid,网格型"/>
    <w:basedOn w:val="TableNormal"/>
    <w:qFormat/>
    <w:rsid w:val="00383E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383E42"/>
    <w:pPr>
      <w:numPr>
        <w:numId w:val="22"/>
      </w:numPr>
      <w:tabs>
        <w:tab w:val="num" w:pos="1619"/>
      </w:tabs>
      <w:overflowPunct w:val="0"/>
      <w:autoSpaceDE w:val="0"/>
      <w:autoSpaceDN w:val="0"/>
      <w:adjustRightInd w:val="0"/>
      <w:spacing w:before="60" w:after="0"/>
      <w:textAlignment w:val="baseline"/>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RBI5PAMIO524-1616901215-50977</_dlc_DocId>
    <_dlc_DocIdUrl xmlns="71c5aaf6-e6ce-465b-b873-5148d2a4c105">
      <Url>https://nokia.sharepoint.com/sites/gxp/_layouts/15/DocIdRedir.aspx?ID=RBI5PAMIO524-1616901215-50977</Url>
      <Description>RBI5PAMIO524-1616901215-50977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673C3E24-B850-49E0-8D9A-65D212DEF7C0}">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1880</Words>
  <Characters>10717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12572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Endrit Dosti (Nokia)</cp:lastModifiedBy>
  <cp:revision>4</cp:revision>
  <dcterms:created xsi:type="dcterms:W3CDTF">2025-08-15T06:57:00Z</dcterms:created>
  <dcterms:modified xsi:type="dcterms:W3CDTF">2025-08-15T06:57:00Z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fec768a0-3375-4074-bc62-ccb1197c537f</vt:lpwstr>
  </property>
</Properties>
</file>